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7744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sz w:val="32"/>
          <w:szCs w:val="32"/>
          <w:u w:val="none"/>
          <w:lang w:val="en-US" w:eastAsia="zh-CN"/>
          <w14:textFill>
            <w14:solidFill>
              <w14:schemeClr w14:val="tx1"/>
            </w14:solidFill>
          </w14:textFill>
        </w:rPr>
      </w:pPr>
    </w:p>
    <w:p w14:paraId="45A6D9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olor w:val="000000" w:themeColor="text1"/>
          <w:sz w:val="36"/>
          <w:u w:val="none"/>
          <w14:textFill>
            <w14:solidFill>
              <w14:schemeClr w14:val="tx1"/>
            </w14:solidFill>
          </w14:textFill>
        </w:rPr>
      </w:pPr>
      <w:r>
        <w:rPr>
          <w:rFonts w:hint="eastAsia" w:ascii="方正小标宋_GBK" w:eastAsia="方正小标宋_GBK"/>
          <w:color w:val="000000" w:themeColor="text1"/>
          <w:sz w:val="36"/>
          <w:u w:val="none"/>
          <w14:textFill>
            <w14:solidFill>
              <w14:schemeClr w14:val="tx1"/>
            </w14:solidFill>
          </w14:textFill>
        </w:rPr>
        <w:t>关于</w:t>
      </w:r>
      <w:r>
        <w:rPr>
          <w:rFonts w:hint="eastAsia" w:ascii="方正小标宋_GBK" w:eastAsia="方正小标宋_GBK"/>
          <w:color w:val="000000" w:themeColor="text1"/>
          <w:sz w:val="36"/>
          <w:u w:val="none"/>
          <w:lang w:val="en-US" w:eastAsia="zh-CN"/>
          <w14:textFill>
            <w14:solidFill>
              <w14:schemeClr w14:val="tx1"/>
            </w14:solidFill>
          </w14:textFill>
        </w:rPr>
        <w:t>解决</w:t>
      </w:r>
      <w:r>
        <w:rPr>
          <w:rFonts w:hint="eastAsia" w:ascii="方正小标宋_GBK" w:eastAsia="方正小标宋_GBK"/>
          <w:color w:val="000000" w:themeColor="text1"/>
          <w:sz w:val="36"/>
          <w:u w:val="none"/>
          <w14:textFill>
            <w14:solidFill>
              <w14:schemeClr w14:val="tx1"/>
            </w14:solidFill>
          </w14:textFill>
        </w:rPr>
        <w:t>历史遗留未登记非住宅房屋确权</w:t>
      </w:r>
      <w:r>
        <w:rPr>
          <w:rFonts w:hint="eastAsia" w:ascii="方正小标宋_GBK" w:eastAsia="方正小标宋_GBK"/>
          <w:color w:val="000000" w:themeColor="text1"/>
          <w:sz w:val="36"/>
          <w:u w:val="none"/>
          <w:lang w:val="en-US" w:eastAsia="zh-CN"/>
          <w14:textFill>
            <w14:solidFill>
              <w14:schemeClr w14:val="tx1"/>
            </w14:solidFill>
          </w14:textFill>
        </w:rPr>
        <w:t>问题</w:t>
      </w:r>
      <w:r>
        <w:rPr>
          <w:rFonts w:hint="eastAsia" w:ascii="方正小标宋_GBK" w:eastAsia="方正小标宋_GBK"/>
          <w:color w:val="000000" w:themeColor="text1"/>
          <w:sz w:val="36"/>
          <w:u w:val="none"/>
          <w14:textFill>
            <w14:solidFill>
              <w14:schemeClr w14:val="tx1"/>
            </w14:solidFill>
          </w14:textFill>
        </w:rPr>
        <w:t>的</w:t>
      </w:r>
    </w:p>
    <w:p w14:paraId="63E9FF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olor w:val="000000" w:themeColor="text1"/>
          <w:sz w:val="36"/>
          <w:u w:val="none"/>
          <w14:textFill>
            <w14:solidFill>
              <w14:schemeClr w14:val="tx1"/>
            </w14:solidFill>
          </w14:textFill>
        </w:rPr>
      </w:pPr>
      <w:r>
        <w:rPr>
          <w:rFonts w:hint="eastAsia" w:ascii="方正小标宋_GBK" w:eastAsia="方正小标宋_GBK"/>
          <w:color w:val="000000" w:themeColor="text1"/>
          <w:sz w:val="36"/>
          <w:u w:val="none"/>
          <w14:textFill>
            <w14:solidFill>
              <w14:schemeClr w14:val="tx1"/>
            </w14:solidFill>
          </w14:textFill>
        </w:rPr>
        <w:t>工作意见</w:t>
      </w:r>
    </w:p>
    <w:p w14:paraId="108238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000000" w:themeColor="text1"/>
          <w:sz w:val="36"/>
          <w:u w:val="none"/>
          <w:lang w:eastAsia="zh-CN"/>
          <w14:textFill>
            <w14:solidFill>
              <w14:schemeClr w14:val="tx1"/>
            </w14:solidFill>
          </w14:textFill>
        </w:rPr>
      </w:pPr>
      <w:r>
        <w:rPr>
          <w:rFonts w:hint="eastAsia" w:ascii="楷体" w:hAnsi="楷体" w:eastAsia="楷体" w:cs="楷体"/>
          <w:color w:val="000000" w:themeColor="text1"/>
          <w:sz w:val="36"/>
          <w:u w:val="none"/>
          <w:lang w:eastAsia="zh-CN"/>
          <w14:textFill>
            <w14:solidFill>
              <w14:schemeClr w14:val="tx1"/>
            </w14:solidFill>
          </w14:textFill>
        </w:rPr>
        <w:t>（</w:t>
      </w:r>
      <w:r>
        <w:rPr>
          <w:rFonts w:hint="eastAsia" w:ascii="楷体" w:hAnsi="楷体" w:eastAsia="楷体" w:cs="楷体"/>
          <w:color w:val="000000" w:themeColor="text1"/>
          <w:sz w:val="36"/>
          <w:u w:val="none"/>
          <w:lang w:val="en-US" w:eastAsia="zh-CN"/>
          <w14:textFill>
            <w14:solidFill>
              <w14:schemeClr w14:val="tx1"/>
            </w14:solidFill>
          </w14:textFill>
        </w:rPr>
        <w:t>征求公众意见稿</w:t>
      </w:r>
      <w:r>
        <w:rPr>
          <w:rFonts w:hint="eastAsia" w:ascii="楷体" w:hAnsi="楷体" w:eastAsia="楷体" w:cs="楷体"/>
          <w:color w:val="000000" w:themeColor="text1"/>
          <w:sz w:val="36"/>
          <w:u w:val="none"/>
          <w:lang w:eastAsia="zh-CN"/>
          <w14:textFill>
            <w14:solidFill>
              <w14:schemeClr w14:val="tx1"/>
            </w14:solidFill>
          </w14:textFill>
        </w:rPr>
        <w:t>）</w:t>
      </w:r>
    </w:p>
    <w:p w14:paraId="471F0E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olor w:val="000000" w:themeColor="text1"/>
          <w:sz w:val="36"/>
          <w:u w:val="none"/>
          <w14:textFill>
            <w14:solidFill>
              <w14:schemeClr w14:val="tx1"/>
            </w14:solidFill>
          </w14:textFill>
        </w:rPr>
      </w:pPr>
    </w:p>
    <w:p w14:paraId="3B53300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为深入贯彻落实自然资源部关于加快解决不动产登记若干历史遗留问题工作部署及精神要求，持续</w:t>
      </w:r>
      <w:r>
        <w:rPr>
          <w:rFonts w:hint="eastAsia"/>
          <w:color w:val="000000" w:themeColor="text1"/>
          <w:u w:val="none"/>
          <w14:textFill>
            <w14:solidFill>
              <w14:schemeClr w14:val="tx1"/>
            </w14:solidFill>
          </w14:textFill>
        </w:rPr>
        <w:t>深化</w:t>
      </w:r>
      <w:r>
        <w:rPr>
          <w:color w:val="000000" w:themeColor="text1"/>
          <w:u w:val="none"/>
          <w14:textFill>
            <w14:solidFill>
              <w14:schemeClr w14:val="tx1"/>
            </w14:solidFill>
          </w14:textFill>
        </w:rPr>
        <w:t>未登记房屋确权</w:t>
      </w:r>
      <w:r>
        <w:rPr>
          <w:rFonts w:hint="eastAsia"/>
          <w:color w:val="000000" w:themeColor="text1"/>
          <w:u w:val="none"/>
          <w:lang w:eastAsia="zh-CN"/>
          <w14:textFill>
            <w14:solidFill>
              <w14:schemeClr w14:val="tx1"/>
            </w14:solidFill>
          </w14:textFill>
        </w:rPr>
        <w:t>专项</w:t>
      </w:r>
      <w:r>
        <w:rPr>
          <w:color w:val="000000" w:themeColor="text1"/>
          <w:u w:val="none"/>
          <w14:textFill>
            <w14:solidFill>
              <w14:schemeClr w14:val="tx1"/>
            </w14:solidFill>
          </w14:textFill>
        </w:rPr>
        <w:t>整治工作，</w:t>
      </w:r>
      <w:r>
        <w:rPr>
          <w:rFonts w:hint="eastAsia"/>
          <w:color w:val="000000" w:themeColor="text1"/>
          <w:u w:val="none"/>
          <w:lang w:val="en-US" w:eastAsia="zh-CN"/>
          <w14:textFill>
            <w14:solidFill>
              <w14:schemeClr w14:val="tx1"/>
            </w14:solidFill>
          </w14:textFill>
        </w:rPr>
        <w:t>全力</w:t>
      </w:r>
      <w:r>
        <w:rPr>
          <w:rFonts w:hint="eastAsia"/>
          <w:color w:val="000000" w:themeColor="text1"/>
          <w:u w:val="none"/>
          <w14:textFill>
            <w14:solidFill>
              <w14:schemeClr w14:val="tx1"/>
            </w14:solidFill>
          </w14:textFill>
        </w:rPr>
        <w:t>破解历史遗留未登记非住宅房屋确权难题</w:t>
      </w:r>
      <w:r>
        <w:rPr>
          <w:color w:val="000000" w:themeColor="text1"/>
          <w:u w:val="none"/>
          <w14:textFill>
            <w14:solidFill>
              <w14:schemeClr w14:val="tx1"/>
            </w14:solidFill>
          </w14:textFill>
        </w:rPr>
        <w:t>，</w:t>
      </w:r>
      <w:r>
        <w:rPr>
          <w:rFonts w:hint="eastAsia"/>
          <w:color w:val="000000" w:themeColor="text1"/>
          <w:u w:val="none"/>
          <w:lang w:val="en-US" w:eastAsia="zh-CN"/>
          <w14:textFill>
            <w14:solidFill>
              <w14:schemeClr w14:val="tx1"/>
            </w14:solidFill>
          </w14:textFill>
        </w:rPr>
        <w:t>切实保障市场主体的合法财产权益，有效盘活存量资产，助力纾困发展，进一步激发市场活力，提振发展信心，推动经济社会持续健康有序发展。依据我市未登记房屋确权专项整治工作相关政策精神，按照“应补尽补、分工协作”的原则，结合我市工作实际，制定本工作意见。</w:t>
      </w:r>
    </w:p>
    <w:p w14:paraId="02BCFA96">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黑体" w:hAnsi="黑体" w:eastAsia="黑体"/>
          <w:color w:val="000000" w:themeColor="text1"/>
          <w:u w:val="none"/>
          <w14:textFill>
            <w14:solidFill>
              <w14:schemeClr w14:val="tx1"/>
            </w14:solidFill>
          </w14:textFill>
        </w:rPr>
      </w:pPr>
      <w:r>
        <w:rPr>
          <w:rFonts w:hint="eastAsia" w:ascii="黑体" w:hAnsi="黑体" w:eastAsia="黑体"/>
          <w:color w:val="000000" w:themeColor="text1"/>
          <w:u w:val="none"/>
          <w14:textFill>
            <w14:solidFill>
              <w14:schemeClr w14:val="tx1"/>
            </w14:solidFill>
          </w14:textFill>
        </w:rPr>
        <w:t>一</w:t>
      </w:r>
      <w:r>
        <w:rPr>
          <w:rFonts w:ascii="黑体" w:hAnsi="黑体" w:eastAsia="黑体"/>
          <w:color w:val="000000" w:themeColor="text1"/>
          <w:u w:val="none"/>
          <w14:textFill>
            <w14:solidFill>
              <w14:schemeClr w14:val="tx1"/>
            </w14:solidFill>
          </w14:textFill>
        </w:rPr>
        <w:t>、</w:t>
      </w:r>
      <w:r>
        <w:rPr>
          <w:rFonts w:hint="eastAsia" w:ascii="黑体" w:hAnsi="黑体" w:eastAsia="黑体"/>
          <w:color w:val="000000" w:themeColor="text1"/>
          <w:u w:val="none"/>
          <w:lang w:val="en-US" w:eastAsia="zh-CN"/>
          <w14:textFill>
            <w14:solidFill>
              <w14:schemeClr w14:val="tx1"/>
            </w14:solidFill>
          </w14:textFill>
        </w:rPr>
        <w:t>适用</w:t>
      </w:r>
      <w:r>
        <w:rPr>
          <w:rFonts w:hint="eastAsia" w:ascii="黑体" w:hAnsi="黑体" w:eastAsia="黑体"/>
          <w:color w:val="000000" w:themeColor="text1"/>
          <w:u w:val="none"/>
          <w14:textFill>
            <w14:solidFill>
              <w14:schemeClr w14:val="tx1"/>
            </w14:solidFill>
          </w14:textFill>
        </w:rPr>
        <w:t>范围</w:t>
      </w:r>
    </w:p>
    <w:p w14:paraId="1FFACCA4">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u w:val="none"/>
          <w:lang w:val="en-US" w:eastAsia="zh-CN"/>
        </w:rPr>
      </w:pPr>
      <w:r>
        <w:rPr>
          <w:rFonts w:hint="eastAsia" w:ascii="仿宋_GB2312"/>
          <w:u w:val="none"/>
        </w:rPr>
        <w:t>2015年以前（含2015年）</w:t>
      </w:r>
      <w:r>
        <w:rPr>
          <w:rFonts w:hint="eastAsia" w:ascii="仿宋_GB2312"/>
          <w:u w:val="none"/>
          <w:lang w:val="en-US" w:eastAsia="zh-CN"/>
        </w:rPr>
        <w:t>在国有土地上建成</w:t>
      </w:r>
      <w:r>
        <w:rPr>
          <w:rFonts w:hint="eastAsia" w:ascii="仿宋_GB2312"/>
          <w:u w:val="none"/>
        </w:rPr>
        <w:t>的自用非住宅房屋，由于</w:t>
      </w:r>
      <w:r>
        <w:rPr>
          <w:rFonts w:hint="eastAsia" w:ascii="仿宋_GB2312"/>
          <w:u w:val="none"/>
          <w:lang w:val="en-US" w:eastAsia="zh-CN"/>
        </w:rPr>
        <w:t>历史原因存在</w:t>
      </w:r>
      <w:r>
        <w:rPr>
          <w:rFonts w:hint="eastAsia" w:ascii="仿宋_GB2312"/>
          <w:u w:val="none"/>
        </w:rPr>
        <w:t>手续</w:t>
      </w:r>
      <w:r>
        <w:rPr>
          <w:rFonts w:hint="eastAsia" w:ascii="仿宋_GB2312"/>
          <w:u w:val="none"/>
          <w:lang w:val="en-US" w:eastAsia="zh-CN"/>
        </w:rPr>
        <w:t>不全</w:t>
      </w:r>
      <w:r>
        <w:rPr>
          <w:rFonts w:hint="eastAsia" w:ascii="仿宋_GB2312"/>
          <w:u w:val="none"/>
        </w:rPr>
        <w:t>，无法按照正常</w:t>
      </w:r>
      <w:r>
        <w:rPr>
          <w:rFonts w:hint="eastAsia" w:ascii="仿宋_GB2312"/>
          <w:u w:val="none"/>
          <w:lang w:val="en-US" w:eastAsia="zh-CN"/>
        </w:rPr>
        <w:t>建设</w:t>
      </w:r>
      <w:r>
        <w:rPr>
          <w:rFonts w:hint="eastAsia" w:ascii="仿宋_GB2312"/>
          <w:u w:val="none"/>
        </w:rPr>
        <w:t>程序办理</w:t>
      </w:r>
      <w:r>
        <w:rPr>
          <w:rFonts w:hint="eastAsia" w:ascii="仿宋_GB2312"/>
          <w:u w:val="none"/>
          <w:lang w:val="en-US" w:eastAsia="zh-CN"/>
        </w:rPr>
        <w:t>不动产首次</w:t>
      </w:r>
      <w:r>
        <w:rPr>
          <w:rFonts w:hint="eastAsia" w:ascii="仿宋_GB2312"/>
          <w:u w:val="none"/>
        </w:rPr>
        <w:t>登记的</w:t>
      </w:r>
      <w:r>
        <w:rPr>
          <w:rFonts w:hint="eastAsia" w:ascii="仿宋_GB2312"/>
          <w:u w:val="none"/>
          <w:lang w:val="en-US" w:eastAsia="zh-CN"/>
        </w:rPr>
        <w:t>项目。同时还应满足以下条件：</w:t>
      </w:r>
    </w:p>
    <w:p w14:paraId="0F1C02FD">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000000" w:themeColor="text1"/>
          <w:u w:val="none"/>
          <w:lang w:eastAsia="zh-CN"/>
          <w14:textFill>
            <w14:solidFill>
              <w14:schemeClr w14:val="tx1"/>
            </w14:solidFill>
          </w14:textFill>
        </w:rPr>
      </w:pPr>
      <w:r>
        <w:rPr>
          <w:rFonts w:hint="eastAsia" w:ascii="仿宋_GB2312" w:hAnsi="楷体"/>
          <w:color w:val="000000" w:themeColor="text1"/>
          <w:u w:val="none"/>
          <w14:textFill>
            <w14:solidFill>
              <w14:schemeClr w14:val="tx1"/>
            </w14:solidFill>
          </w14:textFill>
        </w:rPr>
        <w:t>（一）</w:t>
      </w:r>
      <w:r>
        <w:rPr>
          <w:rFonts w:hint="eastAsia" w:ascii="仿宋_GB2312" w:hAnsi="楷体"/>
          <w:color w:val="000000" w:themeColor="text1"/>
          <w:u w:val="none"/>
          <w:lang w:val="en-US" w:eastAsia="zh-CN"/>
          <w14:textFill>
            <w14:solidFill>
              <w14:schemeClr w14:val="tx1"/>
            </w14:solidFill>
          </w14:textFill>
        </w:rPr>
        <w:t>法人及非法人组织已进行相关注册登记</w:t>
      </w:r>
      <w:r>
        <w:rPr>
          <w:rFonts w:hint="eastAsia" w:ascii="仿宋_GB2312" w:hAnsi="楷体"/>
          <w:color w:val="000000" w:themeColor="text1"/>
          <w:u w:val="none"/>
          <w:lang w:eastAsia="zh-CN"/>
          <w14:textFill>
            <w14:solidFill>
              <w14:schemeClr w14:val="tx1"/>
            </w14:solidFill>
          </w14:textFill>
        </w:rPr>
        <w:t>；</w:t>
      </w:r>
    </w:p>
    <w:p w14:paraId="10C8C9E3">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ascii="仿宋_GB2312" w:hAnsi="楷体"/>
          <w:color w:val="000000" w:themeColor="text1"/>
          <w:u w:val="none"/>
          <w:lang w:val="en-US" w:eastAsia="zh-CN"/>
          <w14:textFill>
            <w14:solidFill>
              <w14:schemeClr w14:val="tx1"/>
            </w14:solidFill>
          </w14:textFill>
        </w:rPr>
      </w:pPr>
      <w:r>
        <w:rPr>
          <w:rFonts w:hint="eastAsia" w:ascii="仿宋_GB2312" w:hAnsi="楷体"/>
          <w:color w:val="000000" w:themeColor="text1"/>
          <w:u w:val="none"/>
          <w14:textFill>
            <w14:solidFill>
              <w14:schemeClr w14:val="tx1"/>
            </w14:solidFill>
          </w14:textFill>
        </w:rPr>
        <w:t>（二）</w:t>
      </w:r>
      <w:r>
        <w:rPr>
          <w:rFonts w:hint="eastAsia" w:ascii="仿宋_GB2312" w:hAnsi="楷体"/>
          <w:color w:val="000000" w:themeColor="text1"/>
          <w:u w:val="none"/>
          <w:lang w:val="en-US" w:eastAsia="zh-CN"/>
          <w14:textFill>
            <w14:solidFill>
              <w14:schemeClr w14:val="tx1"/>
            </w14:solidFill>
          </w14:textFill>
        </w:rPr>
        <w:t>土地及房屋权属界址清晰、无争议。</w:t>
      </w:r>
    </w:p>
    <w:p w14:paraId="09E8109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项目整体用地性质为集体土地、纳入征地拆迁范围、烂尾未完工等情形不属于此次解决范围内。</w:t>
      </w:r>
    </w:p>
    <w:p w14:paraId="5FB4DA6F">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olor w:val="000000" w:themeColor="text1"/>
          <w:u w:val="none"/>
          <w14:textFill>
            <w14:solidFill>
              <w14:schemeClr w14:val="tx1"/>
            </w14:solidFill>
          </w14:textFill>
        </w:rPr>
      </w:pPr>
      <w:r>
        <w:rPr>
          <w:rFonts w:hint="eastAsia" w:ascii="黑体" w:hAnsi="黑体" w:eastAsia="黑体"/>
          <w:color w:val="000000" w:themeColor="text1"/>
          <w:u w:val="none"/>
          <w:lang w:val="en-US" w:eastAsia="zh-CN"/>
          <w14:textFill>
            <w14:solidFill>
              <w14:schemeClr w14:val="tx1"/>
            </w14:solidFill>
          </w14:textFill>
        </w:rPr>
        <w:t>二</w:t>
      </w:r>
      <w:r>
        <w:rPr>
          <w:rFonts w:hint="eastAsia" w:ascii="黑体" w:hAnsi="黑体" w:eastAsia="黑体"/>
          <w:color w:val="000000" w:themeColor="text1"/>
          <w:u w:val="none"/>
          <w:lang w:eastAsia="zh-CN"/>
          <w14:textFill>
            <w14:solidFill>
              <w14:schemeClr w14:val="tx1"/>
            </w14:solidFill>
          </w14:textFill>
        </w:rPr>
        <w:t>、办理</w:t>
      </w:r>
      <w:r>
        <w:rPr>
          <w:rFonts w:hint="eastAsia" w:ascii="黑体" w:hAnsi="黑体" w:eastAsia="黑体"/>
          <w:color w:val="000000" w:themeColor="text1"/>
          <w:u w:val="none"/>
          <w14:textFill>
            <w14:solidFill>
              <w14:schemeClr w14:val="tx1"/>
            </w14:solidFill>
          </w14:textFill>
        </w:rPr>
        <w:t>程序</w:t>
      </w:r>
    </w:p>
    <w:p w14:paraId="58EC7A27">
      <w:pPr>
        <w:pStyle w:val="4"/>
        <w:ind w:firstLine="632" w:firstLineChars="200"/>
        <w:rPr>
          <w:rFonts w:hint="eastAsia" w:ascii="仿宋_GB2312"/>
          <w:u w:val="none"/>
          <w:lang w:val="en-US" w:eastAsia="zh-CN"/>
        </w:rPr>
      </w:pPr>
      <w:r>
        <w:rPr>
          <w:rFonts w:hint="eastAsia" w:ascii="仿宋_GB2312"/>
          <w:u w:val="none"/>
          <w:lang w:val="en-US" w:eastAsia="zh-CN"/>
        </w:rPr>
        <w:t>（一）申请主体向专班</w:t>
      </w:r>
      <w:r>
        <w:rPr>
          <w:rFonts w:hint="eastAsia" w:ascii="仿宋_GB2312"/>
          <w:u w:val="none"/>
        </w:rPr>
        <w:t>办公室</w:t>
      </w:r>
      <w:r>
        <w:rPr>
          <w:rFonts w:hint="eastAsia" w:ascii="仿宋_GB2312"/>
          <w:u w:val="none"/>
          <w:lang w:val="en-US" w:eastAsia="zh-CN"/>
        </w:rPr>
        <w:t>提出书面申请。</w:t>
      </w:r>
    </w:p>
    <w:p w14:paraId="66F7CBA4">
      <w:pPr>
        <w:pStyle w:val="4"/>
        <w:ind w:firstLine="632" w:firstLineChars="200"/>
        <w:rPr>
          <w:rFonts w:ascii="仿宋_GB2312"/>
          <w:u w:val="none"/>
        </w:rPr>
      </w:pPr>
      <w:r>
        <w:rPr>
          <w:rFonts w:hint="eastAsia" w:ascii="仿宋_GB2312"/>
          <w:u w:val="none"/>
          <w:lang w:val="en-US" w:eastAsia="zh-CN"/>
        </w:rPr>
        <w:t>（二）专班办公室</w:t>
      </w:r>
      <w:r>
        <w:rPr>
          <w:rFonts w:hint="eastAsia" w:ascii="仿宋_GB2312"/>
          <w:u w:val="none"/>
        </w:rPr>
        <w:t>组织</w:t>
      </w:r>
      <w:r>
        <w:rPr>
          <w:rFonts w:hint="eastAsia" w:ascii="仿宋_GB2312"/>
          <w:u w:val="none"/>
          <w:lang w:val="en-US" w:eastAsia="zh-CN"/>
        </w:rPr>
        <w:t>对项目进行核查，</w:t>
      </w:r>
      <w:r>
        <w:rPr>
          <w:rFonts w:hint="eastAsia" w:ascii="仿宋_GB2312"/>
          <w:u w:val="none"/>
        </w:rPr>
        <w:t>函</w:t>
      </w:r>
      <w:r>
        <w:rPr>
          <w:rFonts w:hint="eastAsia" w:ascii="仿宋_GB2312"/>
          <w:u w:val="none"/>
          <w:lang w:val="en-US" w:eastAsia="zh-CN"/>
        </w:rPr>
        <w:t>征各有关成员单位办理意见</w:t>
      </w:r>
      <w:r>
        <w:rPr>
          <w:rFonts w:hint="eastAsia" w:ascii="仿宋_GB2312"/>
          <w:u w:val="none"/>
          <w:lang w:eastAsia="zh-CN"/>
        </w:rPr>
        <w:t>，</w:t>
      </w:r>
      <w:r>
        <w:rPr>
          <w:rFonts w:hint="eastAsia" w:ascii="仿宋_GB2312"/>
          <w:u w:val="none"/>
          <w:lang w:val="en-US" w:eastAsia="zh-CN"/>
        </w:rPr>
        <w:t>汇总意见后形成需提报专班联席会审议的</w:t>
      </w:r>
      <w:r>
        <w:rPr>
          <w:rFonts w:hint="eastAsia" w:ascii="仿宋_GB2312"/>
          <w:u w:val="none"/>
        </w:rPr>
        <w:t>办理措施。</w:t>
      </w:r>
    </w:p>
    <w:p w14:paraId="4647C9DB">
      <w:pPr>
        <w:ind w:firstLine="632" w:firstLineChars="200"/>
        <w:rPr>
          <w:rFonts w:hint="default" w:ascii="仿宋_GB2312" w:eastAsia="仿宋_GB2312"/>
          <w:u w:val="none"/>
          <w:lang w:val="en-US" w:eastAsia="zh-CN"/>
        </w:rPr>
      </w:pPr>
      <w:r>
        <w:rPr>
          <w:rFonts w:hint="eastAsia" w:ascii="仿宋_GB2312"/>
          <w:u w:val="none"/>
          <w:lang w:val="en-US" w:eastAsia="zh-CN"/>
        </w:rPr>
        <w:t>（三）专班召开联席会审议项目，印发会议纪要。</w:t>
      </w:r>
    </w:p>
    <w:p w14:paraId="43DF3ADC">
      <w:pPr>
        <w:ind w:firstLine="632" w:firstLineChars="200"/>
        <w:rPr>
          <w:rFonts w:hint="default" w:ascii="仿宋_GB2312"/>
          <w:u w:val="none"/>
          <w:lang w:val="en-US" w:eastAsia="zh-CN"/>
        </w:rPr>
      </w:pPr>
      <w:r>
        <w:rPr>
          <w:rFonts w:hint="eastAsia" w:ascii="仿宋_GB2312"/>
          <w:u w:val="none"/>
          <w:lang w:val="en-US" w:eastAsia="zh-CN"/>
        </w:rPr>
        <w:t>（四）申请主体按照联席会明确的措施办理各项手续后，到专班办公室开具《受理告知书》，并持相关资料到登记部门申报不动产首次登记。</w:t>
      </w:r>
    </w:p>
    <w:p w14:paraId="42703B0C">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color w:val="000000" w:themeColor="text1"/>
          <w:u w:val="none"/>
          <w:lang w:val="en-US" w:eastAsia="zh-CN"/>
          <w14:textFill>
            <w14:solidFill>
              <w14:schemeClr w14:val="tx1"/>
            </w14:solidFill>
          </w14:textFill>
        </w:rPr>
      </w:pPr>
      <w:r>
        <w:rPr>
          <w:rFonts w:hint="eastAsia" w:ascii="黑体" w:hAnsi="黑体" w:eastAsia="黑体" w:cs="黑体"/>
          <w:color w:val="000000" w:themeColor="text1"/>
          <w:u w:val="none"/>
          <w:lang w:val="en-US" w:eastAsia="zh-CN"/>
          <w14:textFill>
            <w14:solidFill>
              <w14:schemeClr w14:val="tx1"/>
            </w14:solidFill>
          </w14:textFill>
        </w:rPr>
        <w:t>三、职责分工</w:t>
      </w:r>
    </w:p>
    <w:p w14:paraId="43A75A8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ascii="仿宋_GB2312" w:hAnsi="楷体" w:eastAsia="仿宋_GB2312"/>
          <w:b w:val="0"/>
          <w:bCs w:val="0"/>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（一）市房管局：</w:t>
      </w:r>
      <w:r>
        <w:rPr>
          <w:rFonts w:hint="eastAsia" w:ascii="仿宋_GB2312" w:hAnsi="楷体"/>
          <w:color w:val="000000" w:themeColor="text1"/>
          <w:u w:val="none"/>
          <w:lang w:val="en-US" w:eastAsia="zh-CN"/>
          <w14:textFill>
            <w14:solidFill>
              <w14:schemeClr w14:val="tx1"/>
            </w14:solidFill>
          </w14:textFill>
        </w:rPr>
        <w:t>负责专班办公室工作：对项目申请主体进行初审，核实项目情况，</w:t>
      </w:r>
      <w:r>
        <w:rPr>
          <w:rFonts w:hint="eastAsia"/>
          <w:color w:val="000000" w:themeColor="text1"/>
          <w:u w:val="none"/>
          <w:lang w:val="en-US" w:eastAsia="zh-CN"/>
          <w14:textFill>
            <w14:solidFill>
              <w14:schemeClr w14:val="tx1"/>
            </w14:solidFill>
          </w14:textFill>
        </w:rPr>
        <w:t>核查原有房屋档案；组织核实企业工</w:t>
      </w:r>
      <w:r>
        <w:rPr>
          <w:rFonts w:hint="eastAsia"/>
          <w:color w:val="000000" w:themeColor="text1"/>
          <w:u w:val="none"/>
          <w:lang w:eastAsia="zh-CN"/>
          <w14:textFill>
            <w14:solidFill>
              <w14:schemeClr w14:val="tx1"/>
            </w14:solidFill>
          </w14:textFill>
        </w:rPr>
        <w:t>商登记信息，调查是否存在相关违法违规行为；组织函询申报项目的有关情况；</w:t>
      </w:r>
      <w:r>
        <w:rPr>
          <w:rFonts w:hint="eastAsia" w:ascii="仿宋_GB2312" w:hAnsi="仿宋"/>
          <w:sz w:val="32"/>
          <w:szCs w:val="32"/>
          <w:u w:val="none"/>
          <w:lang w:val="en-US" w:eastAsia="zh-CN"/>
        </w:rPr>
        <w:t>提出办理意见和建议；</w:t>
      </w:r>
      <w:r>
        <w:rPr>
          <w:rFonts w:hint="eastAsia"/>
          <w:color w:val="000000" w:themeColor="text1"/>
          <w:u w:val="none"/>
          <w:lang w:val="en-US" w:eastAsia="zh-CN"/>
          <w14:textFill>
            <w14:solidFill>
              <w14:schemeClr w14:val="tx1"/>
            </w14:solidFill>
          </w14:textFill>
        </w:rPr>
        <w:t>对符合条件的项目组织提报专班联席会审议；</w:t>
      </w:r>
      <w:r>
        <w:rPr>
          <w:rFonts w:hint="eastAsia"/>
          <w:color w:val="000000" w:themeColor="text1"/>
          <w:u w:val="none"/>
          <w:lang w:eastAsia="zh-CN"/>
          <w14:textFill>
            <w14:solidFill>
              <w14:schemeClr w14:val="tx1"/>
            </w14:solidFill>
          </w14:textFill>
        </w:rPr>
        <w:t>审查提交的《房屋安全鉴定报告》；</w:t>
      </w:r>
      <w:r>
        <w:rPr>
          <w:rFonts w:hint="eastAsia" w:ascii="仿宋_GB2312"/>
          <w:b w:val="0"/>
          <w:bCs w:val="0"/>
          <w:color w:val="000000" w:themeColor="text1"/>
          <w:u w:val="none"/>
          <w:lang w:val="en-US" w:eastAsia="zh-CN"/>
          <w14:textFill>
            <w14:solidFill>
              <w14:schemeClr w14:val="tx1"/>
            </w14:solidFill>
          </w14:textFill>
        </w:rPr>
        <w:t>核查建设单位涉诉情况</w:t>
      </w:r>
      <w:r>
        <w:rPr>
          <w:rFonts w:hint="eastAsia"/>
          <w:color w:val="000000" w:themeColor="text1"/>
          <w:u w:val="none"/>
          <w:lang w:val="en-US" w:eastAsia="zh-CN"/>
          <w14:textFill>
            <w14:solidFill>
              <w14:schemeClr w14:val="tx1"/>
            </w14:solidFill>
          </w14:textFill>
        </w:rPr>
        <w:t>。负责房屋灭籍情况核查，房屋制图、编号，房</w:t>
      </w:r>
      <w:r>
        <w:rPr>
          <w:rFonts w:ascii="仿宋_GB2312"/>
          <w:color w:val="000000" w:themeColor="text1"/>
          <w:u w:val="none"/>
          <w14:textFill>
            <w14:solidFill>
              <w14:schemeClr w14:val="tx1"/>
            </w14:solidFill>
          </w14:textFill>
        </w:rPr>
        <w:t>产</w:t>
      </w:r>
      <w:r>
        <w:rPr>
          <w:rFonts w:hint="eastAsia" w:ascii="仿宋_GB2312"/>
          <w:color w:val="000000" w:themeColor="text1"/>
          <w:u w:val="none"/>
          <w14:textFill>
            <w14:solidFill>
              <w14:schemeClr w14:val="tx1"/>
            </w14:solidFill>
          </w14:textFill>
        </w:rPr>
        <w:t>测绘成果</w:t>
      </w:r>
      <w:r>
        <w:rPr>
          <w:rFonts w:hint="eastAsia" w:ascii="仿宋_GB2312"/>
          <w:color w:val="000000" w:themeColor="text1"/>
          <w:u w:val="none"/>
          <w:lang w:val="en-US" w:eastAsia="zh-CN"/>
          <w14:textFill>
            <w14:solidFill>
              <w14:schemeClr w14:val="tx1"/>
            </w14:solidFill>
          </w14:textFill>
        </w:rPr>
        <w:t>备案，楼盘表管理</w:t>
      </w:r>
      <w:r>
        <w:rPr>
          <w:rFonts w:hint="eastAsia" w:ascii="仿宋_GB2312"/>
          <w:b w:val="0"/>
          <w:bCs w:val="0"/>
          <w:color w:val="000000" w:themeColor="text1"/>
          <w:u w:val="none"/>
          <w:lang w:eastAsia="zh-CN"/>
          <w14:textFill>
            <w14:solidFill>
              <w14:schemeClr w14:val="tx1"/>
            </w14:solidFill>
          </w14:textFill>
        </w:rPr>
        <w:t>。</w:t>
      </w:r>
    </w:p>
    <w:p w14:paraId="26EAC06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（二）市规资局：负责核查原有规划、土地手续，确认土地权属性质；核查是否欠缴土地出让金或划拨成本；核查是否列入近期建设规划范围内；核查土地查封情况；</w:t>
      </w:r>
      <w:r>
        <w:rPr>
          <w:rFonts w:hint="eastAsia" w:ascii="仿宋_GB2312" w:hAnsi="仿宋"/>
          <w:sz w:val="32"/>
          <w:szCs w:val="32"/>
          <w:u w:val="none"/>
          <w:lang w:val="en-US" w:eastAsia="zh-CN"/>
        </w:rPr>
        <w:t>提出办理意见和建议</w:t>
      </w:r>
      <w:r>
        <w:rPr>
          <w:rFonts w:hint="eastAsia"/>
          <w:color w:val="000000" w:themeColor="text1"/>
          <w:u w:val="none"/>
          <w:lang w:val="en-US" w:eastAsia="zh-CN"/>
          <w14:textFill>
            <w14:solidFill>
              <w14:schemeClr w14:val="tx1"/>
            </w14:solidFill>
          </w14:textFill>
        </w:rPr>
        <w:t>；组织对项目规划土地手续补办、土地出让金（划拨成本）收取，办理核实或出具规划认定意见；审查不动产首次登记。</w:t>
      </w:r>
    </w:p>
    <w:p w14:paraId="3FE3545D">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（三）市建委：负责对主城区项目核查原有施工、消防审批、</w:t>
      </w:r>
      <w:r>
        <w:rPr>
          <w:rFonts w:hint="eastAsia" w:ascii="仿宋" w:hAnsi="仿宋" w:eastAsia="仿宋" w:cs="仿宋"/>
          <w:color w:val="auto"/>
          <w:sz w:val="32"/>
          <w:szCs w:val="32"/>
          <w:u w:val="none"/>
          <w:lang w:val="en-US" w:eastAsia="zh-CN" w:bidi="ar"/>
        </w:rPr>
        <w:t>竣工验收备案</w:t>
      </w:r>
      <w:r>
        <w:rPr>
          <w:rFonts w:hint="eastAsia"/>
          <w:color w:val="000000" w:themeColor="text1"/>
          <w:u w:val="none"/>
          <w:lang w:val="en-US" w:eastAsia="zh-CN"/>
          <w14:textFill>
            <w14:solidFill>
              <w14:schemeClr w14:val="tx1"/>
            </w14:solidFill>
          </w14:textFill>
        </w:rPr>
        <w:t>手续；核查是否欠缴城市基础设施配套费；核查是否已列入征收范围；</w:t>
      </w:r>
      <w:r>
        <w:rPr>
          <w:rFonts w:hint="eastAsia" w:ascii="仿宋_GB2312" w:hAnsi="仿宋"/>
          <w:sz w:val="32"/>
          <w:szCs w:val="32"/>
          <w:u w:val="none"/>
          <w:lang w:val="en-US" w:eastAsia="zh-CN"/>
        </w:rPr>
        <w:t>提出办理意见和建议；</w:t>
      </w:r>
      <w:r>
        <w:rPr>
          <w:rFonts w:hint="eastAsia"/>
          <w:color w:val="000000" w:themeColor="text1"/>
          <w:u w:val="none"/>
          <w:lang w:val="en-US" w:eastAsia="zh-CN"/>
          <w14:textFill>
            <w14:solidFill>
              <w14:schemeClr w14:val="tx1"/>
            </w14:solidFill>
          </w14:textFill>
        </w:rPr>
        <w:t>组织对项目手续补办，城市基础设施配套费收取。</w:t>
      </w:r>
    </w:p>
    <w:p w14:paraId="305054E4">
      <w:pPr>
        <w:keepNext w:val="0"/>
        <w:keepLines w:val="0"/>
        <w:pageBreakBefore w:val="0"/>
        <w:numPr>
          <w:ilvl w:val="0"/>
          <w:numId w:val="1"/>
        </w:numPr>
        <w:kinsoku/>
        <w:wordWrap/>
        <w:overflowPunct/>
        <w:topLinePunct w:val="0"/>
        <w:autoSpaceDE/>
        <w:autoSpaceDN/>
        <w:bidi w:val="0"/>
        <w:adjustRightInd/>
        <w:snapToGrid/>
        <w:spacing w:line="560" w:lineRule="exact"/>
        <w:ind w:firstLine="632" w:firstLineChars="200"/>
        <w:textAlignment w:val="auto"/>
        <w:rPr>
          <w:rFonts w:hint="eastAsia"/>
          <w:color w:val="000000" w:themeColor="text1"/>
          <w:u w:val="none"/>
          <w:lang w:val="en-US"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市国动办：负责核查原有人防结建审批手续办理情况；核查是否按相关法律法规建设人防工程；核查是否欠缴人防工程易地建设费；</w:t>
      </w:r>
      <w:r>
        <w:rPr>
          <w:rFonts w:hint="eastAsia" w:ascii="仿宋_GB2312" w:hAnsi="仿宋"/>
          <w:sz w:val="32"/>
          <w:szCs w:val="32"/>
          <w:u w:val="none"/>
          <w:lang w:val="en-US" w:eastAsia="zh-CN"/>
        </w:rPr>
        <w:t>提出办理意见和建议；</w:t>
      </w:r>
      <w:r>
        <w:rPr>
          <w:rFonts w:hint="eastAsia"/>
          <w:color w:val="000000" w:themeColor="text1"/>
          <w:u w:val="none"/>
          <w:lang w:val="en-US" w:eastAsia="zh-CN"/>
          <w14:textFill>
            <w14:solidFill>
              <w14:schemeClr w14:val="tx1"/>
            </w14:solidFill>
          </w14:textFill>
        </w:rPr>
        <w:t>组织对项目手续补办或出具人防认定意见。</w:t>
      </w:r>
    </w:p>
    <w:p w14:paraId="16AAFF98">
      <w:pPr>
        <w:spacing w:line="620" w:lineRule="exact"/>
        <w:ind w:firstLine="632" w:firstLineChars="200"/>
        <w:rPr>
          <w:rFonts w:hint="eastAsia" w:ascii="仿宋_GB2312" w:hAnsi="仿宋"/>
          <w:sz w:val="32"/>
          <w:szCs w:val="32"/>
          <w:u w:val="none"/>
          <w:lang w:val="en-US" w:eastAsia="zh-CN"/>
        </w:rPr>
      </w:pPr>
      <w:r>
        <w:rPr>
          <w:rFonts w:hint="eastAsia"/>
          <w:color w:val="000000" w:themeColor="text1"/>
          <w:u w:val="none"/>
          <w:lang w:val="en-US" w:eastAsia="zh-CN"/>
          <w14:textFill>
            <w14:solidFill>
              <w14:schemeClr w14:val="tx1"/>
            </w14:solidFill>
          </w14:textFill>
        </w:rPr>
        <w:t>（五）区政府（管委会）：</w:t>
      </w:r>
      <w:r>
        <w:rPr>
          <w:rFonts w:hint="eastAsia" w:ascii="仿宋_GB2312" w:hAnsi="仿宋" w:eastAsia="仿宋_GB2312"/>
          <w:sz w:val="32"/>
          <w:szCs w:val="32"/>
          <w:u w:val="none"/>
        </w:rPr>
        <w:t>负责</w:t>
      </w:r>
      <w:r>
        <w:rPr>
          <w:rFonts w:hint="eastAsia"/>
          <w:color w:val="000000" w:themeColor="text1"/>
          <w:u w:val="none"/>
          <w:lang w:val="en-US" w:eastAsia="zh-CN"/>
          <w14:textFill>
            <w14:solidFill>
              <w14:schemeClr w14:val="tx1"/>
            </w14:solidFill>
          </w14:textFill>
        </w:rPr>
        <w:t>核查是否列入近期征地拆迁计划内；复核申请单位合法经营情况；负责</w:t>
      </w:r>
      <w:r>
        <w:rPr>
          <w:rFonts w:hint="eastAsia" w:ascii="仿宋_GB2312" w:hAnsi="仿宋"/>
          <w:sz w:val="32"/>
          <w:szCs w:val="32"/>
          <w:u w:val="none"/>
          <w:lang w:val="en-US" w:eastAsia="zh-CN"/>
        </w:rPr>
        <w:t>对位于开发区的项目</w:t>
      </w:r>
      <w:r>
        <w:rPr>
          <w:rFonts w:hint="eastAsia"/>
          <w:color w:val="000000" w:themeColor="text1"/>
          <w:u w:val="none"/>
          <w:lang w:val="en-US" w:eastAsia="zh-CN"/>
          <w14:textFill>
            <w14:solidFill>
              <w14:schemeClr w14:val="tx1"/>
            </w14:solidFill>
          </w14:textFill>
        </w:rPr>
        <w:t>核查原有施工、消防审批手续，核查是否欠缴城市基础设施配套费，</w:t>
      </w:r>
      <w:r>
        <w:rPr>
          <w:rFonts w:hint="eastAsia" w:ascii="仿宋_GB2312" w:hAnsi="仿宋"/>
          <w:sz w:val="32"/>
          <w:szCs w:val="32"/>
          <w:u w:val="none"/>
          <w:lang w:val="en-US" w:eastAsia="zh-CN"/>
        </w:rPr>
        <w:t>提出办理意见和建议，组织</w:t>
      </w:r>
      <w:r>
        <w:rPr>
          <w:rFonts w:hint="eastAsia"/>
          <w:color w:val="000000" w:themeColor="text1"/>
          <w:u w:val="none"/>
          <w:lang w:val="en-US" w:eastAsia="zh-CN"/>
          <w14:textFill>
            <w14:solidFill>
              <w14:schemeClr w14:val="tx1"/>
            </w14:solidFill>
          </w14:textFill>
        </w:rPr>
        <w:t>对项目手续补办、税费收取</w:t>
      </w:r>
      <w:r>
        <w:rPr>
          <w:rFonts w:hint="eastAsia" w:ascii="仿宋_GB2312" w:hAnsi="仿宋"/>
          <w:sz w:val="32"/>
          <w:szCs w:val="32"/>
          <w:u w:val="none"/>
          <w:lang w:val="en-US" w:eastAsia="zh-CN"/>
        </w:rPr>
        <w:t>。</w:t>
      </w:r>
    </w:p>
    <w:p w14:paraId="3F7EE9B7">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color w:val="000000" w:themeColor="text1"/>
          <w:u w:val="none"/>
          <w:lang w:eastAsia="zh-CN"/>
          <w14:textFill>
            <w14:solidFill>
              <w14:schemeClr w14:val="tx1"/>
            </w14:solidFill>
          </w14:textFill>
        </w:rPr>
      </w:pPr>
      <w:r>
        <w:rPr>
          <w:rFonts w:hint="eastAsia"/>
          <w:color w:val="000000" w:themeColor="text1"/>
          <w:u w:val="none"/>
          <w:lang w:val="en-US" w:eastAsia="zh-CN"/>
          <w14:textFill>
            <w14:solidFill>
              <w14:schemeClr w14:val="tx1"/>
            </w14:solidFill>
          </w14:textFill>
        </w:rPr>
        <w:t>其他各有关部门按《长春市未登记房屋确权专项整治工作方</w:t>
      </w:r>
      <w:r>
        <w:rPr>
          <w:rFonts w:hint="eastAsia" w:ascii="仿宋_GB2312"/>
          <w:color w:val="000000" w:themeColor="text1"/>
          <w:u w:val="none"/>
          <w14:textFill>
            <w14:solidFill>
              <w14:schemeClr w14:val="tx1"/>
            </w14:solidFill>
          </w14:textFill>
        </w:rPr>
        <w:t>案》</w:t>
      </w:r>
      <w:r>
        <w:rPr>
          <w:rFonts w:hint="eastAsia" w:ascii="仿宋_GB2312"/>
          <w:color w:val="000000" w:themeColor="text1"/>
          <w:u w:val="none"/>
          <w:lang w:eastAsia="zh-CN"/>
          <w14:textFill>
            <w14:solidFill>
              <w14:schemeClr w14:val="tx1"/>
            </w14:solidFill>
          </w14:textFill>
        </w:rPr>
        <w:t>中确定的职责配合做好相关工作。</w:t>
      </w:r>
    </w:p>
    <w:p w14:paraId="166815A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ascii="黑体" w:hAnsi="黑体" w:eastAsia="黑体" w:cs="黑体"/>
          <w:color w:val="000000" w:themeColor="text1"/>
          <w:u w:val="none"/>
          <w:lang w:val="en-US" w:eastAsia="zh-CN"/>
          <w14:textFill>
            <w14:solidFill>
              <w14:schemeClr w14:val="tx1"/>
            </w14:solidFill>
          </w14:textFill>
        </w:rPr>
      </w:pPr>
      <w:r>
        <w:rPr>
          <w:rFonts w:hint="eastAsia" w:ascii="黑体" w:hAnsi="黑体" w:eastAsia="黑体" w:cs="黑体"/>
          <w:color w:val="000000" w:themeColor="text1"/>
          <w:u w:val="none"/>
          <w:lang w:val="en-US" w:eastAsia="zh-CN"/>
          <w14:textFill>
            <w14:solidFill>
              <w14:schemeClr w14:val="tx1"/>
            </w14:solidFill>
          </w14:textFill>
        </w:rPr>
        <w:t>四、政策措施</w:t>
      </w:r>
    </w:p>
    <w:p w14:paraId="21A69287">
      <w:pPr>
        <w:pStyle w:val="4"/>
        <w:ind w:firstLine="632" w:firstLineChars="200"/>
        <w:rPr>
          <w:rFonts w:hint="eastAsia" w:ascii="楷体" w:hAnsi="楷体" w:eastAsia="楷体" w:cs="楷体"/>
          <w:u w:val="none"/>
          <w:lang w:val="en-US" w:eastAsia="zh-CN"/>
        </w:rPr>
      </w:pPr>
      <w:r>
        <w:rPr>
          <w:rFonts w:hint="eastAsia" w:ascii="楷体" w:hAnsi="楷体" w:eastAsia="楷体" w:cs="楷体"/>
          <w:u w:val="none"/>
          <w:lang w:eastAsia="zh-CN"/>
        </w:rPr>
        <w:t>（</w:t>
      </w:r>
      <w:r>
        <w:rPr>
          <w:rFonts w:hint="eastAsia" w:ascii="楷体" w:hAnsi="楷体" w:eastAsia="楷体" w:cs="楷体"/>
          <w:u w:val="none"/>
          <w:lang w:val="en-US" w:eastAsia="zh-CN"/>
        </w:rPr>
        <w:t>一</w:t>
      </w:r>
      <w:r>
        <w:rPr>
          <w:rFonts w:hint="eastAsia" w:ascii="楷体" w:hAnsi="楷体" w:eastAsia="楷体" w:cs="楷体"/>
          <w:u w:val="none"/>
          <w:lang w:eastAsia="zh-CN"/>
        </w:rPr>
        <w:t>）</w:t>
      </w:r>
      <w:r>
        <w:rPr>
          <w:rFonts w:hint="eastAsia" w:ascii="楷体" w:hAnsi="楷体" w:eastAsia="楷体" w:cs="楷体"/>
          <w:u w:val="none"/>
          <w:lang w:val="en-US" w:eastAsia="zh-CN"/>
        </w:rPr>
        <w:t>建设用地手续问题</w:t>
      </w:r>
    </w:p>
    <w:p w14:paraId="60324667">
      <w:pPr>
        <w:pStyle w:val="4"/>
        <w:ind w:firstLine="632" w:firstLineChars="200"/>
        <w:rPr>
          <w:rFonts w:hint="eastAsia" w:ascii="仿宋_GB2312"/>
          <w:u w:val="none"/>
          <w:lang w:val="en-US" w:eastAsia="zh-CN"/>
        </w:rPr>
      </w:pPr>
      <w:r>
        <w:rPr>
          <w:rFonts w:hint="eastAsia" w:ascii="仿宋_GB2312"/>
          <w:u w:val="none"/>
          <w:lang w:val="en-US" w:eastAsia="zh-CN"/>
        </w:rPr>
        <w:t>1.项目于1992年6月22日《长春市城镇国有土地有偿使用管理暂行规定》实施前建成使用的，对于建设用地手续等权属来源材料缺失且未进行房屋登记，经确认宗地四至范围清晰、面积准确、权属无争议的，经联席会审议同意并公告15个工作日，无异议后，不再补办用地手续。市规资局组织进行权籍调查，不动产登记部门公示15个工作日无异议后，直接按国有划拨用地性质办理不动产登记并以实际用途确定土地用途。</w:t>
      </w:r>
    </w:p>
    <w:p w14:paraId="429FC0C0">
      <w:pPr>
        <w:pStyle w:val="2"/>
        <w:keepNext w:val="0"/>
        <w:keepLines w:val="0"/>
        <w:pageBreakBefore w:val="0"/>
        <w:widowControl w:val="0"/>
        <w:kinsoku/>
        <w:wordWrap/>
        <w:overflowPunct/>
        <w:topLinePunct w:val="0"/>
        <w:autoSpaceDE/>
        <w:autoSpaceDN/>
        <w:bidi w:val="0"/>
        <w:adjustRightInd/>
        <w:snapToGrid w:val="0"/>
        <w:spacing w:line="540" w:lineRule="exact"/>
        <w:ind w:firstLine="632" w:firstLineChars="200"/>
        <w:textAlignment w:val="auto"/>
        <w:rPr>
          <w:rFonts w:hint="eastAsia" w:ascii="仿宋_GB2312" w:eastAsia="仿宋_GB2312" w:cs="楷体_GB2312"/>
          <w:b w:val="0"/>
          <w:bCs w:val="0"/>
          <w:sz w:val="32"/>
          <w:szCs w:val="32"/>
          <w:u w:val="none"/>
          <w:lang w:eastAsia="zh-CN"/>
        </w:rPr>
      </w:pPr>
      <w:r>
        <w:rPr>
          <w:rFonts w:hint="eastAsia" w:ascii="仿宋_GB2312" w:hAnsi="仿宋_GB2312" w:cs="仿宋_GB2312"/>
          <w:sz w:val="32"/>
          <w:szCs w:val="32"/>
          <w:u w:val="none"/>
          <w:lang w:val="en-US" w:eastAsia="zh-CN"/>
        </w:rPr>
        <w:t>2.</w:t>
      </w:r>
      <w:r>
        <w:rPr>
          <w:rFonts w:hint="eastAsia" w:ascii="仿宋_GB2312" w:hAnsi="仿宋_GB2312" w:eastAsia="仿宋_GB2312" w:cs="仿宋_GB2312"/>
          <w:b w:val="0"/>
          <w:bCs w:val="0"/>
          <w:sz w:val="32"/>
          <w:szCs w:val="32"/>
          <w:u w:val="none"/>
          <w:lang w:val="en-US" w:eastAsia="zh-CN"/>
        </w:rPr>
        <w:t>项目于</w:t>
      </w:r>
      <w:r>
        <w:rPr>
          <w:rFonts w:hint="eastAsia" w:ascii="仿宋_GB2312" w:hAnsi="仿宋_GB2312" w:eastAsia="仿宋_GB2312" w:cs="仿宋_GB2312"/>
          <w:b w:val="0"/>
          <w:bCs w:val="0"/>
          <w:i w:val="0"/>
          <w:iCs w:val="0"/>
          <w:caps w:val="0"/>
          <w:color w:val="auto"/>
          <w:spacing w:val="11"/>
          <w:kern w:val="21"/>
          <w:sz w:val="32"/>
          <w:szCs w:val="32"/>
          <w:highlight w:val="none"/>
          <w:u w:val="none"/>
          <w:shd w:val="clear" w:color="auto" w:fill="FFFFFF"/>
          <w:lang w:val="en-US" w:eastAsia="zh-CN"/>
        </w:rPr>
        <w:t>1992年6月22日</w:t>
      </w:r>
      <w:r>
        <w:rPr>
          <w:rFonts w:hint="eastAsia" w:ascii="仿宋_GB2312" w:hAnsi="仿宋_GB2312" w:eastAsia="仿宋_GB2312" w:cs="仿宋_GB2312"/>
          <w:b w:val="0"/>
          <w:bCs w:val="0"/>
          <w:sz w:val="32"/>
          <w:szCs w:val="32"/>
          <w:u w:val="none"/>
          <w:lang w:val="en-US" w:eastAsia="zh-CN"/>
        </w:rPr>
        <w:t>后建成使用的，可按当时土地有偿使用政策以协议方式，结合弹性年期出让、长期租赁等方式办理供地手续。因自身原因造成用地手续缺失的，应当依法依规处理后再完善供地手续。</w:t>
      </w:r>
    </w:p>
    <w:p w14:paraId="15439428">
      <w:pPr>
        <w:ind w:firstLine="632" w:firstLineChars="200"/>
        <w:rPr>
          <w:rFonts w:hint="default" w:ascii="仿宋_GB2312"/>
          <w:u w:val="none"/>
          <w:lang w:val="en-US" w:eastAsia="zh-CN"/>
        </w:rPr>
      </w:pPr>
      <w:r>
        <w:rPr>
          <w:rFonts w:hint="eastAsia" w:ascii="仿宋_GB2312"/>
          <w:u w:val="none"/>
          <w:lang w:val="en-US" w:eastAsia="zh-CN"/>
        </w:rPr>
        <w:t>3.政府机关、事业单位、国有企业等建设的国有性质自用非住宅，未办理土地手续的，</w:t>
      </w:r>
      <w:r>
        <w:rPr>
          <w:rFonts w:hint="eastAsia" w:ascii="仿宋_GB2312" w:hAnsi="仿宋_GB2312" w:eastAsia="仿宋_GB2312" w:cs="仿宋_GB2312"/>
          <w:b w:val="0"/>
          <w:bCs w:val="0"/>
          <w:sz w:val="32"/>
          <w:szCs w:val="32"/>
          <w:u w:val="none"/>
          <w:lang w:val="en-US" w:eastAsia="zh-CN"/>
        </w:rPr>
        <w:t>按当时土地</w:t>
      </w:r>
      <w:r>
        <w:rPr>
          <w:rFonts w:hint="eastAsia" w:ascii="仿宋_GB2312" w:hAnsi="仿宋_GB2312" w:cs="仿宋_GB2312"/>
          <w:b w:val="0"/>
          <w:bCs w:val="0"/>
          <w:sz w:val="32"/>
          <w:szCs w:val="32"/>
          <w:u w:val="none"/>
          <w:lang w:val="en-US" w:eastAsia="zh-CN"/>
        </w:rPr>
        <w:t>政策办理供地手续。符合划拨用地目录的，</w:t>
      </w:r>
      <w:r>
        <w:rPr>
          <w:rFonts w:hint="eastAsia" w:ascii="仿宋_GB2312"/>
          <w:u w:val="none"/>
          <w:lang w:val="en-US" w:eastAsia="zh-CN"/>
        </w:rPr>
        <w:t>以划拨方式供地。不符合划拨用地目录的，采取</w:t>
      </w:r>
      <w:r>
        <w:rPr>
          <w:rFonts w:hint="eastAsia" w:ascii="仿宋_GB2312" w:hAnsi="仿宋_GB2312" w:eastAsia="仿宋_GB2312" w:cs="仿宋_GB2312"/>
          <w:b w:val="0"/>
          <w:bCs w:val="0"/>
          <w:color w:val="auto"/>
          <w:sz w:val="32"/>
          <w:szCs w:val="32"/>
          <w:u w:val="none"/>
          <w:lang w:val="en-US" w:eastAsia="zh-CN"/>
        </w:rPr>
        <w:t>协议</w:t>
      </w:r>
      <w:r>
        <w:rPr>
          <w:rFonts w:hint="eastAsia" w:ascii="仿宋_GB2312" w:hAnsi="仿宋_GB2312" w:cs="仿宋_GB2312"/>
          <w:b w:val="0"/>
          <w:bCs w:val="0"/>
          <w:color w:val="auto"/>
          <w:sz w:val="32"/>
          <w:szCs w:val="32"/>
          <w:u w:val="none"/>
          <w:lang w:val="en-US" w:eastAsia="zh-CN"/>
        </w:rPr>
        <w:t>出让并</w:t>
      </w:r>
      <w:r>
        <w:rPr>
          <w:rFonts w:hint="eastAsia" w:ascii="仿宋_GB2312" w:hAnsi="仿宋_GB2312" w:eastAsia="仿宋_GB2312" w:cs="仿宋_GB2312"/>
          <w:b w:val="0"/>
          <w:bCs w:val="0"/>
          <w:color w:val="auto"/>
          <w:sz w:val="32"/>
          <w:szCs w:val="32"/>
          <w:u w:val="none"/>
          <w:lang w:val="en-US" w:eastAsia="zh-CN"/>
        </w:rPr>
        <w:t>结合弹性年期出让、长期租赁等方式</w:t>
      </w:r>
      <w:r>
        <w:rPr>
          <w:rFonts w:hint="eastAsia" w:ascii="仿宋_GB2312" w:hAnsi="仿宋_GB2312" w:cs="仿宋_GB2312"/>
          <w:b w:val="0"/>
          <w:bCs w:val="0"/>
          <w:color w:val="auto"/>
          <w:sz w:val="32"/>
          <w:szCs w:val="32"/>
          <w:u w:val="none"/>
          <w:lang w:val="en-US" w:eastAsia="zh-CN"/>
        </w:rPr>
        <w:t>，按照有关规定缴纳土地出让金</w:t>
      </w:r>
      <w:r>
        <w:rPr>
          <w:rFonts w:hint="eastAsia" w:ascii="仿宋_GB2312" w:hAnsi="仿宋_GB2312" w:eastAsia="仿宋_GB2312" w:cs="仿宋_GB2312"/>
          <w:b w:val="0"/>
          <w:bCs w:val="0"/>
          <w:color w:val="auto"/>
          <w:sz w:val="32"/>
          <w:szCs w:val="32"/>
          <w:u w:val="none"/>
          <w:lang w:val="en-US" w:eastAsia="zh-CN"/>
        </w:rPr>
        <w:t>。</w:t>
      </w:r>
    </w:p>
    <w:p w14:paraId="6BD58DEB">
      <w:pPr>
        <w:pStyle w:val="2"/>
        <w:keepNext w:val="0"/>
        <w:keepLines w:val="0"/>
        <w:pageBreakBefore w:val="0"/>
        <w:widowControl w:val="0"/>
        <w:kinsoku/>
        <w:wordWrap/>
        <w:overflowPunct/>
        <w:topLinePunct w:val="0"/>
        <w:autoSpaceDE/>
        <w:autoSpaceDN/>
        <w:bidi w:val="0"/>
        <w:adjustRightInd/>
        <w:snapToGrid w:val="0"/>
        <w:spacing w:line="540" w:lineRule="exact"/>
        <w:ind w:firstLine="63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cstheme="minorBidi"/>
          <w:kern w:val="2"/>
          <w:sz w:val="32"/>
          <w:szCs w:val="22"/>
          <w:u w:val="none"/>
          <w:lang w:val="en-US" w:eastAsia="zh-CN" w:bidi="ar-SA"/>
        </w:rPr>
        <w:t>4</w:t>
      </w:r>
      <w:r>
        <w:rPr>
          <w:rFonts w:hint="eastAsia" w:ascii="仿宋_GB2312" w:eastAsia="仿宋_GB2312" w:hAnsiTheme="minorHAnsi" w:cstheme="minorBidi"/>
          <w:kern w:val="2"/>
          <w:sz w:val="32"/>
          <w:szCs w:val="22"/>
          <w:u w:val="none"/>
          <w:lang w:val="en-US" w:eastAsia="zh-CN" w:bidi="ar-SA"/>
        </w:rPr>
        <w:t>.在城市开发边界范围内的项目，因非主观故意形成勘界测量错误，致使用地位置漂移，未在征地批复范围内建设，但用地面积与批复面积一致的，由具有资质的测绘公司出具测绘工作报告和测绘复核报告后，经申请可对项目坐标进行调整。调整后，按规定办理供地手续。</w:t>
      </w:r>
    </w:p>
    <w:p w14:paraId="2789607E">
      <w:pPr>
        <w:pStyle w:val="4"/>
        <w:ind w:firstLine="632" w:firstLineChars="200"/>
        <w:rPr>
          <w:rFonts w:hint="default" w:ascii="楷体" w:hAnsi="楷体" w:eastAsia="楷体" w:cs="楷体"/>
          <w:u w:val="none"/>
          <w:lang w:val="en-US" w:eastAsia="zh-CN"/>
        </w:rPr>
      </w:pPr>
      <w:r>
        <w:rPr>
          <w:rFonts w:hint="eastAsia" w:ascii="楷体" w:hAnsi="楷体" w:eastAsia="楷体" w:cs="楷体"/>
          <w:u w:val="none"/>
          <w:lang w:eastAsia="zh-CN"/>
        </w:rPr>
        <w:t>（</w:t>
      </w:r>
      <w:r>
        <w:rPr>
          <w:rFonts w:hint="eastAsia" w:ascii="楷体" w:hAnsi="楷体" w:eastAsia="楷体" w:cs="楷体"/>
          <w:u w:val="none"/>
          <w:lang w:val="en-US" w:eastAsia="zh-CN"/>
        </w:rPr>
        <w:t>二</w:t>
      </w:r>
      <w:r>
        <w:rPr>
          <w:rFonts w:hint="eastAsia" w:ascii="楷体" w:hAnsi="楷体" w:eastAsia="楷体" w:cs="楷体"/>
          <w:u w:val="none"/>
          <w:lang w:eastAsia="zh-CN"/>
        </w:rPr>
        <w:t>）</w:t>
      </w:r>
      <w:r>
        <w:rPr>
          <w:rFonts w:hint="eastAsia" w:ascii="楷体" w:hAnsi="楷体" w:eastAsia="楷体" w:cs="楷体"/>
          <w:u w:val="none"/>
          <w:lang w:val="en-US" w:eastAsia="zh-CN"/>
        </w:rPr>
        <w:t>规划核实手续问题</w:t>
      </w:r>
    </w:p>
    <w:p w14:paraId="181B578F">
      <w:pPr>
        <w:ind w:firstLine="631"/>
        <w:rPr>
          <w:rFonts w:hint="eastAsia" w:ascii="仿宋_GB2312"/>
          <w:u w:val="none"/>
          <w:lang w:val="en-US" w:eastAsia="zh-CN"/>
        </w:rPr>
      </w:pPr>
      <w:r>
        <w:rPr>
          <w:rFonts w:hint="eastAsia" w:ascii="仿宋_GB2312"/>
          <w:u w:val="none"/>
          <w:lang w:val="en-US" w:eastAsia="zh-CN"/>
        </w:rPr>
        <w:t>5.对于未办理规划核实手续或手续不完备，按规定能够补办规划核实手续的，应当依法依规处理后再补办相关规划核实手续。</w:t>
      </w:r>
    </w:p>
    <w:p w14:paraId="1DFB6B82">
      <w:pPr>
        <w:ind w:firstLine="631"/>
        <w:rPr>
          <w:rFonts w:hint="eastAsia" w:ascii="仿宋_GB2312"/>
          <w:u w:val="none"/>
          <w:lang w:val="en-US" w:eastAsia="zh-CN"/>
        </w:rPr>
      </w:pPr>
      <w:r>
        <w:rPr>
          <w:rFonts w:hint="eastAsia" w:ascii="仿宋_GB2312"/>
          <w:u w:val="none"/>
          <w:lang w:val="en-US" w:eastAsia="zh-CN"/>
        </w:rPr>
        <w:t>6.对确因建成时间较早等原因不具备补办条件的，在符合国土空间规划的前提下，经联席会审议同意后，按现状办理规划核实或出具规划认定意见。</w:t>
      </w:r>
    </w:p>
    <w:p w14:paraId="301E9E52">
      <w:pPr>
        <w:ind w:firstLine="631"/>
        <w:rPr>
          <w:rFonts w:hint="eastAsia" w:ascii="仿宋_GB2312"/>
          <w:u w:val="none"/>
          <w:lang w:val="en-US" w:eastAsia="zh-CN"/>
        </w:rPr>
      </w:pPr>
      <w:r>
        <w:rPr>
          <w:rFonts w:hint="eastAsia" w:ascii="仿宋_GB2312"/>
          <w:u w:val="none"/>
          <w:lang w:val="en-US" w:eastAsia="zh-CN"/>
        </w:rPr>
        <w:t>7.建设项目部分符合规划的，可以对符合规划的部分进行核实或出具规划认定意见。</w:t>
      </w:r>
    </w:p>
    <w:p w14:paraId="516AD45C">
      <w:pPr>
        <w:pStyle w:val="4"/>
        <w:ind w:firstLine="632" w:firstLineChars="200"/>
        <w:rPr>
          <w:rFonts w:hint="eastAsia" w:ascii="楷体" w:hAnsi="楷体" w:eastAsia="楷体" w:cs="楷体"/>
          <w:u w:val="none"/>
          <w:lang w:val="en-US" w:eastAsia="zh-CN"/>
        </w:rPr>
      </w:pPr>
      <w:r>
        <w:rPr>
          <w:rFonts w:hint="eastAsia" w:ascii="楷体" w:hAnsi="楷体" w:eastAsia="楷体" w:cs="楷体"/>
          <w:u w:val="none"/>
          <w:lang w:eastAsia="zh-CN"/>
        </w:rPr>
        <w:t>（</w:t>
      </w:r>
      <w:r>
        <w:rPr>
          <w:rFonts w:hint="eastAsia" w:ascii="楷体" w:hAnsi="楷体" w:eastAsia="楷体" w:cs="楷体"/>
          <w:u w:val="none"/>
          <w:lang w:val="en-US" w:eastAsia="zh-CN"/>
        </w:rPr>
        <w:t>三</w:t>
      </w:r>
      <w:r>
        <w:rPr>
          <w:rFonts w:hint="eastAsia" w:ascii="楷体" w:hAnsi="楷体" w:eastAsia="楷体" w:cs="楷体"/>
          <w:u w:val="none"/>
          <w:lang w:eastAsia="zh-CN"/>
        </w:rPr>
        <w:t>）</w:t>
      </w:r>
      <w:r>
        <w:rPr>
          <w:rFonts w:hint="eastAsia" w:ascii="楷体" w:hAnsi="楷体" w:eastAsia="楷体" w:cs="楷体"/>
          <w:u w:val="none"/>
          <w:lang w:val="en-US" w:eastAsia="zh-CN"/>
        </w:rPr>
        <w:t>竣工验收备案手续问题</w:t>
      </w:r>
    </w:p>
    <w:p w14:paraId="47687A48">
      <w:pPr>
        <w:ind w:firstLine="631"/>
        <w:rPr>
          <w:rFonts w:hint="eastAsia" w:ascii="仿宋_GB2312"/>
          <w:u w:val="none"/>
          <w:lang w:val="en-US" w:eastAsia="zh-CN"/>
        </w:rPr>
      </w:pPr>
      <w:r>
        <w:rPr>
          <w:rFonts w:hint="eastAsia" w:ascii="仿宋_GB2312"/>
          <w:u w:val="none"/>
          <w:lang w:val="en-US" w:eastAsia="zh-CN"/>
        </w:rPr>
        <w:t>8.因报建报批手续不全无法组织工程竣工验收，应当依法依规先行处理。对于能够补办相关建设手续的，补办竣工验收备案手续；不具备补办条件的，经联席会审议同意后，由申请主体委托有资质的检测机构进行房屋安全鉴定，鉴定合格后，以鉴定报告作为不动产登记要件。</w:t>
      </w:r>
    </w:p>
    <w:p w14:paraId="76B0D36C">
      <w:pPr>
        <w:ind w:firstLine="631"/>
        <w:rPr>
          <w:rFonts w:hint="eastAsia" w:ascii="仿宋_GB2312"/>
          <w:u w:val="none"/>
          <w:lang w:val="en-US" w:eastAsia="zh-CN"/>
        </w:rPr>
      </w:pPr>
      <w:r>
        <w:rPr>
          <w:rFonts w:hint="eastAsia" w:ascii="仿宋_GB2312"/>
          <w:u w:val="none"/>
          <w:lang w:val="en-US" w:eastAsia="zh-CN"/>
        </w:rPr>
        <w:t>9.按照长春市建设工程消防审验违法违规问题专项治理工作确定的技术标准和整改政策办理消防相关手续。1998年9月1日前已建成的项目可以不办理消防审验手续。</w:t>
      </w:r>
    </w:p>
    <w:p w14:paraId="7AFBD4C4">
      <w:pPr>
        <w:ind w:firstLine="631"/>
        <w:rPr>
          <w:rFonts w:hint="eastAsia" w:ascii="仿宋_GB2312"/>
          <w:u w:val="none"/>
          <w:lang w:val="en-US" w:eastAsia="zh-CN"/>
        </w:rPr>
      </w:pPr>
      <w:r>
        <w:rPr>
          <w:rFonts w:hint="eastAsia" w:ascii="仿宋_GB2312"/>
          <w:u w:val="none"/>
          <w:lang w:val="en-US" w:eastAsia="zh-CN"/>
        </w:rPr>
        <w:t>10.按建设时期标准缴纳城市基础设施配套费。</w:t>
      </w:r>
    </w:p>
    <w:p w14:paraId="6DCE9ED2">
      <w:pPr>
        <w:ind w:firstLine="631"/>
        <w:rPr>
          <w:rFonts w:hint="eastAsia" w:ascii="仿宋_GB2312"/>
          <w:u w:val="none"/>
          <w:lang w:val="en-US" w:eastAsia="zh-CN"/>
        </w:rPr>
      </w:pPr>
      <w:r>
        <w:rPr>
          <w:rFonts w:hint="eastAsia" w:ascii="仿宋_GB2312"/>
          <w:u w:val="none"/>
          <w:lang w:val="en-US" w:eastAsia="zh-CN"/>
        </w:rPr>
        <w:t>11.应依法补办人防结建手续，如不能补办的，经联席会审议同意后，按照建设时期标准核定人防工程易地建设费，由税务部门负责征缴入库后，按现状出具人防认定意见。</w:t>
      </w:r>
    </w:p>
    <w:p w14:paraId="21569799">
      <w:pPr>
        <w:ind w:firstLine="631"/>
        <w:rPr>
          <w:rFonts w:hint="default" w:ascii="仿宋_GB2312"/>
          <w:u w:val="none"/>
          <w:lang w:val="en-US" w:eastAsia="zh-CN"/>
        </w:rPr>
      </w:pPr>
      <w:r>
        <w:rPr>
          <w:rFonts w:hint="eastAsia" w:ascii="仿宋_GB2312"/>
          <w:u w:val="none"/>
          <w:lang w:val="en-US" w:eastAsia="zh-CN"/>
        </w:rPr>
        <w:t>另：2015年以前（含2015年）建成的其他公建项目参照本意见及“</w:t>
      </w:r>
      <w:bookmarkStart w:id="0" w:name="_GoBack"/>
      <w:bookmarkEnd w:id="0"/>
      <w:r>
        <w:rPr>
          <w:rFonts w:hint="eastAsia" w:ascii="仿宋_GB2312"/>
          <w:u w:val="none"/>
          <w:lang w:val="en-US" w:eastAsia="zh-CN"/>
        </w:rPr>
        <w:t>关于历史遗留小区配套公建确权的工作措施”执行。</w:t>
      </w:r>
    </w:p>
    <w:sectPr>
      <w:footerReference r:id="rId3" w:type="default"/>
      <w:pgSz w:w="11906" w:h="16838"/>
      <w:pgMar w:top="1928" w:right="1474" w:bottom="1814" w:left="1588" w:header="851" w:footer="992" w:gutter="0"/>
      <w:pgNumType w:fmt="numberInDash"/>
      <w:cols w:space="425" w:num="1"/>
      <w:docGrid w:type="linesAndChars" w:linePitch="59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serif">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4388425"/>
      <w:docPartObj>
        <w:docPartGallery w:val="autotext"/>
      </w:docPartObj>
    </w:sdtPr>
    <w:sdtEndPr>
      <w:rPr>
        <w:rFonts w:hint="eastAsia" w:ascii="仿宋_GB2312"/>
        <w:sz w:val="24"/>
        <w:szCs w:val="24"/>
      </w:rPr>
    </w:sdtEndPr>
    <w:sdtContent>
      <w:p w14:paraId="04830A78">
        <w:pPr>
          <w:pStyle w:val="2"/>
          <w:jc w:val="center"/>
          <w:rPr>
            <w:rFonts w:ascii="仿宋_GB2312"/>
            <w:sz w:val="24"/>
            <w:szCs w:val="24"/>
          </w:rPr>
        </w:pPr>
        <w:r>
          <w:rPr>
            <w:rFonts w:hint="eastAsia" w:ascii="仿宋_GB2312"/>
            <w:sz w:val="24"/>
            <w:szCs w:val="24"/>
          </w:rPr>
          <w:fldChar w:fldCharType="begin"/>
        </w:r>
        <w:r>
          <w:rPr>
            <w:rFonts w:hint="eastAsia" w:ascii="仿宋_GB2312"/>
            <w:sz w:val="24"/>
            <w:szCs w:val="24"/>
          </w:rPr>
          <w:instrText xml:space="preserve">PAGE   \* MERGEFORMAT</w:instrText>
        </w:r>
        <w:r>
          <w:rPr>
            <w:rFonts w:hint="eastAsia" w:ascii="仿宋_GB2312"/>
            <w:sz w:val="24"/>
            <w:szCs w:val="24"/>
          </w:rPr>
          <w:fldChar w:fldCharType="separate"/>
        </w:r>
        <w:r>
          <w:rPr>
            <w:rFonts w:ascii="仿宋_GB2312"/>
            <w:sz w:val="24"/>
            <w:szCs w:val="24"/>
            <w:lang w:val="zh-CN"/>
          </w:rPr>
          <w:t>-</w:t>
        </w:r>
        <w:r>
          <w:rPr>
            <w:rFonts w:ascii="仿宋_GB2312"/>
            <w:sz w:val="24"/>
            <w:szCs w:val="24"/>
          </w:rPr>
          <w:t xml:space="preserve"> 6 -</w:t>
        </w:r>
        <w:r>
          <w:rPr>
            <w:rFonts w:hint="eastAsia" w:ascii="仿宋_GB2312"/>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A49ECF"/>
    <w:multiLevelType w:val="singleLevel"/>
    <w:tmpl w:val="26A49EC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attachedTemplate r:id="rId1"/>
  <w:documentProtection w:enforcement="0"/>
  <w:defaultTabStop w:val="420"/>
  <w:drawingGridHorizontalSpacing w:val="164"/>
  <w:drawingGridVerticalSpacing w:val="5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AD"/>
    <w:rsid w:val="0003515B"/>
    <w:rsid w:val="000428B3"/>
    <w:rsid w:val="00044139"/>
    <w:rsid w:val="000A516B"/>
    <w:rsid w:val="000D07B5"/>
    <w:rsid w:val="000E6905"/>
    <w:rsid w:val="001850C7"/>
    <w:rsid w:val="001B404F"/>
    <w:rsid w:val="001C614A"/>
    <w:rsid w:val="001F3983"/>
    <w:rsid w:val="0020527E"/>
    <w:rsid w:val="00232FA1"/>
    <w:rsid w:val="00276618"/>
    <w:rsid w:val="002B23EA"/>
    <w:rsid w:val="002C5BED"/>
    <w:rsid w:val="002E75C3"/>
    <w:rsid w:val="0033548B"/>
    <w:rsid w:val="00336CC0"/>
    <w:rsid w:val="003B2537"/>
    <w:rsid w:val="00403EFB"/>
    <w:rsid w:val="00422320"/>
    <w:rsid w:val="004262FB"/>
    <w:rsid w:val="0043569C"/>
    <w:rsid w:val="004B5641"/>
    <w:rsid w:val="004E2EEA"/>
    <w:rsid w:val="00524063"/>
    <w:rsid w:val="005451E7"/>
    <w:rsid w:val="00555B92"/>
    <w:rsid w:val="005A0811"/>
    <w:rsid w:val="005A1896"/>
    <w:rsid w:val="005D36F6"/>
    <w:rsid w:val="0063178A"/>
    <w:rsid w:val="00634D1A"/>
    <w:rsid w:val="00641C80"/>
    <w:rsid w:val="006532F8"/>
    <w:rsid w:val="006D5786"/>
    <w:rsid w:val="00702E2D"/>
    <w:rsid w:val="00715809"/>
    <w:rsid w:val="00786890"/>
    <w:rsid w:val="00790EE8"/>
    <w:rsid w:val="00793D0C"/>
    <w:rsid w:val="007F0647"/>
    <w:rsid w:val="00890D2C"/>
    <w:rsid w:val="008A7EEA"/>
    <w:rsid w:val="008B54B7"/>
    <w:rsid w:val="00970EF5"/>
    <w:rsid w:val="00993C9F"/>
    <w:rsid w:val="009A2201"/>
    <w:rsid w:val="009A54FE"/>
    <w:rsid w:val="00A01F8B"/>
    <w:rsid w:val="00A3702F"/>
    <w:rsid w:val="00A52800"/>
    <w:rsid w:val="00A65668"/>
    <w:rsid w:val="00A7135D"/>
    <w:rsid w:val="00AB0EBD"/>
    <w:rsid w:val="00AB51AD"/>
    <w:rsid w:val="00AD7965"/>
    <w:rsid w:val="00B2580B"/>
    <w:rsid w:val="00B50DB3"/>
    <w:rsid w:val="00B74380"/>
    <w:rsid w:val="00B7438A"/>
    <w:rsid w:val="00BE4B66"/>
    <w:rsid w:val="00C16E68"/>
    <w:rsid w:val="00C4011F"/>
    <w:rsid w:val="00C56DB8"/>
    <w:rsid w:val="00C80368"/>
    <w:rsid w:val="00CD6FD4"/>
    <w:rsid w:val="00D17B31"/>
    <w:rsid w:val="00D17F70"/>
    <w:rsid w:val="00D27973"/>
    <w:rsid w:val="00D74ACB"/>
    <w:rsid w:val="00D83B3E"/>
    <w:rsid w:val="00DA4E86"/>
    <w:rsid w:val="00DC280B"/>
    <w:rsid w:val="00DE2591"/>
    <w:rsid w:val="00E01618"/>
    <w:rsid w:val="00E01710"/>
    <w:rsid w:val="00E42AA6"/>
    <w:rsid w:val="00E670AB"/>
    <w:rsid w:val="00E86F86"/>
    <w:rsid w:val="00EA79A1"/>
    <w:rsid w:val="00EB3389"/>
    <w:rsid w:val="00F045BB"/>
    <w:rsid w:val="00F10FBE"/>
    <w:rsid w:val="00F209D4"/>
    <w:rsid w:val="00F249F9"/>
    <w:rsid w:val="00F46130"/>
    <w:rsid w:val="00F54343"/>
    <w:rsid w:val="00FC3B6C"/>
    <w:rsid w:val="00FE2CF0"/>
    <w:rsid w:val="00FF2493"/>
    <w:rsid w:val="01CD36D8"/>
    <w:rsid w:val="02317763"/>
    <w:rsid w:val="029A7BE4"/>
    <w:rsid w:val="03B11646"/>
    <w:rsid w:val="03D57604"/>
    <w:rsid w:val="04BB2B23"/>
    <w:rsid w:val="055E32F7"/>
    <w:rsid w:val="071B185A"/>
    <w:rsid w:val="08FD68B4"/>
    <w:rsid w:val="096E7880"/>
    <w:rsid w:val="0C383A1B"/>
    <w:rsid w:val="0E1735D8"/>
    <w:rsid w:val="0F2312BF"/>
    <w:rsid w:val="105A492A"/>
    <w:rsid w:val="11494E5B"/>
    <w:rsid w:val="123468B0"/>
    <w:rsid w:val="133D0CE4"/>
    <w:rsid w:val="149712FD"/>
    <w:rsid w:val="1653640A"/>
    <w:rsid w:val="17EC5FF2"/>
    <w:rsid w:val="184049FD"/>
    <w:rsid w:val="199548B2"/>
    <w:rsid w:val="1B061265"/>
    <w:rsid w:val="1B593EEC"/>
    <w:rsid w:val="1B723200"/>
    <w:rsid w:val="1BFC6062"/>
    <w:rsid w:val="1D3C31C6"/>
    <w:rsid w:val="1DE95B06"/>
    <w:rsid w:val="1FAF258D"/>
    <w:rsid w:val="221E4CC8"/>
    <w:rsid w:val="251D5F8B"/>
    <w:rsid w:val="259C74A9"/>
    <w:rsid w:val="26A338B2"/>
    <w:rsid w:val="26A352D7"/>
    <w:rsid w:val="290441D9"/>
    <w:rsid w:val="2A495AA3"/>
    <w:rsid w:val="2A895B9C"/>
    <w:rsid w:val="2D92623C"/>
    <w:rsid w:val="2DEC6BE5"/>
    <w:rsid w:val="2E534DE8"/>
    <w:rsid w:val="31A04D91"/>
    <w:rsid w:val="31B600E0"/>
    <w:rsid w:val="34733E4C"/>
    <w:rsid w:val="34BB7FAC"/>
    <w:rsid w:val="3850077D"/>
    <w:rsid w:val="386148D5"/>
    <w:rsid w:val="3B16704D"/>
    <w:rsid w:val="3B8A781E"/>
    <w:rsid w:val="3C954F79"/>
    <w:rsid w:val="3D674549"/>
    <w:rsid w:val="3D9A1050"/>
    <w:rsid w:val="3DED2E61"/>
    <w:rsid w:val="3ED06D05"/>
    <w:rsid w:val="3FAF1A7E"/>
    <w:rsid w:val="40247C3E"/>
    <w:rsid w:val="41F17F72"/>
    <w:rsid w:val="44390021"/>
    <w:rsid w:val="448D62E5"/>
    <w:rsid w:val="45B00D46"/>
    <w:rsid w:val="46727366"/>
    <w:rsid w:val="474B479A"/>
    <w:rsid w:val="49040CBE"/>
    <w:rsid w:val="493A087A"/>
    <w:rsid w:val="495C03FC"/>
    <w:rsid w:val="4C081CA4"/>
    <w:rsid w:val="4F5A491C"/>
    <w:rsid w:val="554062A2"/>
    <w:rsid w:val="55E7726F"/>
    <w:rsid w:val="57344082"/>
    <w:rsid w:val="57C916FD"/>
    <w:rsid w:val="582838F4"/>
    <w:rsid w:val="5A7B2587"/>
    <w:rsid w:val="5C815964"/>
    <w:rsid w:val="5D7161CA"/>
    <w:rsid w:val="5EDA56B6"/>
    <w:rsid w:val="5F401ED1"/>
    <w:rsid w:val="62644CE0"/>
    <w:rsid w:val="63DE3F46"/>
    <w:rsid w:val="64204A24"/>
    <w:rsid w:val="64412342"/>
    <w:rsid w:val="64CB1562"/>
    <w:rsid w:val="65DA02E5"/>
    <w:rsid w:val="69E71DA0"/>
    <w:rsid w:val="6AC95E9E"/>
    <w:rsid w:val="6CEC7150"/>
    <w:rsid w:val="6D090170"/>
    <w:rsid w:val="6D0B03E1"/>
    <w:rsid w:val="6F375132"/>
    <w:rsid w:val="6F5E29F5"/>
    <w:rsid w:val="70813E20"/>
    <w:rsid w:val="70A716D9"/>
    <w:rsid w:val="713B7826"/>
    <w:rsid w:val="7227300F"/>
    <w:rsid w:val="727B38BE"/>
    <w:rsid w:val="73627906"/>
    <w:rsid w:val="73B2786F"/>
    <w:rsid w:val="73E76508"/>
    <w:rsid w:val="747803BA"/>
    <w:rsid w:val="75907AB0"/>
    <w:rsid w:val="76AA29C3"/>
    <w:rsid w:val="776D5947"/>
    <w:rsid w:val="778C47E5"/>
    <w:rsid w:val="78886FDB"/>
    <w:rsid w:val="795F7A95"/>
    <w:rsid w:val="7C1F52BA"/>
    <w:rsid w:val="7D1D18A9"/>
    <w:rsid w:val="7D65005C"/>
    <w:rsid w:val="CBBF4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3">
    <w:name w:val="heading 2"/>
    <w:basedOn w:val="1"/>
    <w:next w:val="1"/>
    <w:unhideWhenUsed/>
    <w:qFormat/>
    <w:uiPriority w:val="9"/>
    <w:pPr>
      <w:ind w:firstLine="632" w:firstLineChars="200"/>
      <w:outlineLvl w:val="1"/>
    </w:pPr>
    <w:rPr>
      <w:rFonts w:ascii="方正小标宋_GBK" w:eastAsia="方正小标宋_GBK"/>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21"/>
    <w:unhideWhenUsed/>
    <w:qFormat/>
    <w:uiPriority w:val="99"/>
    <w:pPr>
      <w:tabs>
        <w:tab w:val="center" w:pos="4153"/>
        <w:tab w:val="right" w:pos="8306"/>
      </w:tabs>
      <w:snapToGrid w:val="0"/>
      <w:jc w:val="left"/>
    </w:pPr>
    <w:rPr>
      <w:sz w:val="18"/>
      <w:szCs w:val="18"/>
    </w:rPr>
  </w:style>
  <w:style w:type="paragraph" w:styleId="4">
    <w:name w:val="Salutation"/>
    <w:basedOn w:val="1"/>
    <w:next w:val="1"/>
    <w:qFormat/>
    <w:uiPriority w:val="0"/>
  </w:style>
  <w:style w:type="paragraph" w:styleId="5">
    <w:name w:val="Balloon Text"/>
    <w:basedOn w:val="1"/>
    <w:link w:val="22"/>
    <w:semiHidden/>
    <w:unhideWhenUsed/>
    <w:qFormat/>
    <w:uiPriority w:val="99"/>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styleId="10">
    <w:name w:val="FollowedHyperlink"/>
    <w:basedOn w:val="8"/>
    <w:semiHidden/>
    <w:unhideWhenUsed/>
    <w:qFormat/>
    <w:uiPriority w:val="99"/>
    <w:rPr>
      <w:color w:val="338DE6"/>
      <w:u w:val="none"/>
    </w:rPr>
  </w:style>
  <w:style w:type="character" w:styleId="11">
    <w:name w:val="Emphasis"/>
    <w:basedOn w:val="8"/>
    <w:qFormat/>
    <w:uiPriority w:val="20"/>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semiHidden/>
    <w:unhideWhenUsed/>
    <w:qFormat/>
    <w:uiPriority w:val="99"/>
    <w:rPr>
      <w:color w:val="338DE6"/>
      <w:u w:val="none"/>
    </w:rPr>
  </w:style>
  <w:style w:type="character" w:styleId="15">
    <w:name w:val="HTML Code"/>
    <w:basedOn w:val="8"/>
    <w:semiHidden/>
    <w:unhideWhenUsed/>
    <w:qFormat/>
    <w:uiPriority w:val="99"/>
    <w:rPr>
      <w:rFonts w:hint="default" w:ascii="serif" w:hAnsi="serif" w:eastAsia="serif" w:cs="serif"/>
      <w:sz w:val="21"/>
      <w:szCs w:val="21"/>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hint="default" w:ascii="serif" w:hAnsi="serif" w:eastAsia="serif" w:cs="serif"/>
      <w:sz w:val="21"/>
      <w:szCs w:val="21"/>
    </w:rPr>
  </w:style>
  <w:style w:type="character" w:styleId="18">
    <w:name w:val="HTML Sample"/>
    <w:basedOn w:val="8"/>
    <w:semiHidden/>
    <w:unhideWhenUsed/>
    <w:qFormat/>
    <w:uiPriority w:val="99"/>
    <w:rPr>
      <w:rFonts w:ascii="serif" w:hAnsi="serif" w:eastAsia="serif" w:cs="serif"/>
      <w:sz w:val="21"/>
      <w:szCs w:val="21"/>
    </w:rPr>
  </w:style>
  <w:style w:type="paragraph" w:styleId="19">
    <w:name w:val="List Paragraph"/>
    <w:basedOn w:val="1"/>
    <w:qFormat/>
    <w:uiPriority w:val="34"/>
    <w:pPr>
      <w:ind w:firstLine="420" w:firstLineChars="200"/>
    </w:pPr>
  </w:style>
  <w:style w:type="character" w:customStyle="1" w:styleId="20">
    <w:name w:val="页眉 字符"/>
    <w:basedOn w:val="8"/>
    <w:link w:val="6"/>
    <w:qFormat/>
    <w:uiPriority w:val="99"/>
    <w:rPr>
      <w:rFonts w:eastAsia="仿宋_GB2312"/>
      <w:sz w:val="18"/>
      <w:szCs w:val="18"/>
    </w:rPr>
  </w:style>
  <w:style w:type="character" w:customStyle="1" w:styleId="21">
    <w:name w:val="页脚 字符"/>
    <w:basedOn w:val="8"/>
    <w:link w:val="2"/>
    <w:qFormat/>
    <w:uiPriority w:val="99"/>
    <w:rPr>
      <w:rFonts w:eastAsia="仿宋_GB2312"/>
      <w:sz w:val="18"/>
      <w:szCs w:val="18"/>
    </w:rPr>
  </w:style>
  <w:style w:type="character" w:customStyle="1" w:styleId="22">
    <w:name w:val="批注框文本 字符"/>
    <w:basedOn w:val="8"/>
    <w:link w:val="5"/>
    <w:semiHidden/>
    <w:qFormat/>
    <w:uiPriority w:val="99"/>
    <w:rPr>
      <w:rFonts w:eastAsia="仿宋_GB2312"/>
      <w:sz w:val="18"/>
      <w:szCs w:val="18"/>
    </w:rPr>
  </w:style>
  <w:style w:type="character" w:customStyle="1" w:styleId="23">
    <w:name w:val="fontborder"/>
    <w:basedOn w:val="8"/>
    <w:qFormat/>
    <w:uiPriority w:val="0"/>
    <w:rPr>
      <w:bdr w:val="single" w:color="000000" w:sz="6" w:space="0"/>
    </w:rPr>
  </w:style>
  <w:style w:type="character" w:customStyle="1" w:styleId="24">
    <w:name w:val="fontstrikethrough"/>
    <w:basedOn w:val="8"/>
    <w:qFormat/>
    <w:uiPriority w:val="0"/>
    <w:rPr>
      <w:strike/>
    </w:rPr>
  </w:style>
  <w:style w:type="paragraph" w:customStyle="1" w:styleId="25">
    <w:name w:val="正文空2字"/>
    <w:basedOn w:val="26"/>
    <w:qFormat/>
    <w:uiPriority w:val="0"/>
    <w:pPr>
      <w:widowControl w:val="0"/>
      <w:snapToGrid w:val="0"/>
      <w:spacing w:line="560" w:lineRule="exact"/>
      <w:ind w:firstLineChars="200"/>
    </w:pPr>
    <w:rPr>
      <w:rFonts w:ascii="仿宋_GB2312" w:hAnsi="仿宋_GB2312" w:eastAsia="仿宋_GB2312" w:cs="Times New Roman"/>
    </w:rPr>
  </w:style>
  <w:style w:type="paragraph" w:customStyle="1" w:styleId="26">
    <w:name w:val="左对齐正文"/>
    <w:qFormat/>
    <w:uiPriority w:val="0"/>
    <w:rPr>
      <w:rFonts w:ascii="Calibri" w:hAnsi="Calibri"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langchao\.config\weixin\wechat\users\clearain826\message\cache\9e20f478899dc29eb19741386f9343c8\opendata\2026-03\C:\Users\zdl\Documents\&#33258;&#23450;&#20041;%20Office%20&#27169;&#26495;\Doc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Doc1</Template>
  <Company>Microsoft</Company>
  <Pages>5</Pages>
  <Words>2266</Words>
  <Characters>2304</Characters>
  <Lines>22</Lines>
  <Paragraphs>6</Paragraphs>
  <TotalTime>80</TotalTime>
  <ScaleCrop>false</ScaleCrop>
  <LinksUpToDate>false</LinksUpToDate>
  <CharactersWithSpaces>2304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2021-11-01T16:09:00Z</dcterms:created>
  <dc:creator>zdl</dc:creator>
  <cp:lastModifiedBy>Administrator</cp:lastModifiedBy>
  <cp:lastPrinted>2026-06-18T01:25:00Z</cp:lastPrinted>
  <dcterms:modified xsi:type="dcterms:W3CDTF">2026-07-22T02:49:16Z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996B79E953274A4CA2EC4C9A71B7B8D7_13</vt:lpwstr>
  </property>
  <property fmtid="{D5CDD505-2E9C-101B-9397-08002B2CF9AE}" pid="4" name="KSOTemplateDocerSaveRecord">
    <vt:lpwstr>eyJoZGlkIjoiNDZjYzA1NWJiNDllODY0MDE5NmIzOGU1NTZmODRkOWQiLCJ1c2VySWQiOiI1Mzk3MDEwODkifQ==</vt:lpwstr>
  </property>
</Properties>
</file>