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368EE">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p>
    <w:p w14:paraId="3B68673D">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p>
    <w:p w14:paraId="3A2726A8">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p>
    <w:p w14:paraId="7B1EE1AD">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t>关于印发《</w:t>
      </w:r>
      <w:r>
        <w:rPr>
          <w:rFonts w:hint="eastAsia" w:ascii="方正公文小标宋" w:hAnsi="方正公文小标宋" w:eastAsia="方正公文小标宋" w:cs="方正公文小标宋"/>
          <w:b w:val="0"/>
          <w:bCs w:val="0"/>
          <w:color w:val="000000" w:themeColor="text1"/>
          <w:sz w:val="36"/>
          <w:szCs w:val="36"/>
          <w:highlight w:val="none"/>
          <w:shd w:val="clear" w:color="auto" w:fill="FFFFFF"/>
          <w14:textFill>
            <w14:solidFill>
              <w14:schemeClr w14:val="tx1"/>
            </w14:solidFill>
          </w14:textFill>
        </w:rPr>
        <w:t>长春市物业服务企业安全生产管理办法</w:t>
      </w:r>
      <w: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t>》的通知</w:t>
      </w:r>
    </w:p>
    <w:p w14:paraId="545D4521">
      <w:pPr>
        <w:pStyle w:val="7"/>
        <w:keepNext w:val="0"/>
        <w:keepLines w:val="0"/>
        <w:pageBreakBefore w:val="0"/>
        <w:shd w:val="clear" w:color="auto" w:fill="FFFFFF"/>
        <w:wordWrap/>
        <w:overflowPunct w:val="0"/>
        <w:topLinePunct w:val="0"/>
        <w:autoSpaceDE w:val="0"/>
        <w:autoSpaceDN w:val="0"/>
        <w:bidi w:val="0"/>
        <w:spacing w:beforeAutospacing="0" w:afterAutospacing="0" w:line="570" w:lineRule="exact"/>
        <w:jc w:val="both"/>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t>各城区、开发区：</w:t>
      </w:r>
    </w:p>
    <w:p w14:paraId="55C290B5">
      <w:pPr>
        <w:pStyle w:val="7"/>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现将《长春市物业服务企业安全生产管理办法》予以印发，请各地各部门结合实际，认真贯彻</w:t>
      </w:r>
      <w:r>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t>落实。</w:t>
      </w:r>
    </w:p>
    <w:p w14:paraId="77455B56">
      <w:pPr>
        <w:pStyle w:val="7"/>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pPr>
    </w:p>
    <w:p w14:paraId="4FDBB19C">
      <w:pPr>
        <w:pStyle w:val="7"/>
        <w:keepNext w:val="0"/>
        <w:keepLines w:val="0"/>
        <w:pageBreakBefore w:val="0"/>
        <w:widowControl w:val="0"/>
        <w:shd w:val="clear" w:color="auto" w:fill="FFFFFF"/>
        <w:kinsoku/>
        <w:wordWrap w:val="0"/>
        <w:overflowPunct w:val="0"/>
        <w:topLinePunct w:val="0"/>
        <w:autoSpaceDE w:val="0"/>
        <w:autoSpaceDN w:val="0"/>
        <w:bidi w:val="0"/>
        <w:adjustRightInd/>
        <w:snapToGrid/>
        <w:spacing w:beforeAutospacing="0" w:afterAutospacing="0" w:line="560" w:lineRule="exact"/>
        <w:ind w:firstLine="640" w:firstLineChars="200"/>
        <w:jc w:val="right"/>
        <w:textAlignment w:val="auto"/>
        <w:rPr>
          <w:rFonts w:hint="default" w:ascii="仿宋" w:hAnsi="仿宋" w:eastAsia="仿宋" w:cs="仿宋"/>
          <w:color w:val="000000" w:themeColor="text1"/>
          <w:sz w:val="32"/>
          <w:szCs w:val="32"/>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t>长春市住房保障和房屋管理局</w:t>
      </w: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 xml:space="preserve">    </w:t>
      </w:r>
    </w:p>
    <w:p w14:paraId="7D59D9FC">
      <w:pPr>
        <w:pStyle w:val="7"/>
        <w:keepNext w:val="0"/>
        <w:keepLines w:val="0"/>
        <w:pageBreakBefore w:val="0"/>
        <w:widowControl w:val="0"/>
        <w:shd w:val="clear" w:color="auto" w:fill="FFFFFF"/>
        <w:kinsoku/>
        <w:wordWrap w:val="0"/>
        <w:overflowPunct w:val="0"/>
        <w:topLinePunct w:val="0"/>
        <w:autoSpaceDE w:val="0"/>
        <w:autoSpaceDN w:val="0"/>
        <w:bidi w:val="0"/>
        <w:adjustRightInd/>
        <w:snapToGrid/>
        <w:spacing w:beforeAutospacing="0" w:afterAutospacing="0" w:line="560" w:lineRule="exact"/>
        <w:ind w:firstLine="640" w:firstLineChars="200"/>
        <w:jc w:val="right"/>
        <w:textAlignment w:val="auto"/>
        <w:rPr>
          <w:rFonts w:hint="default" w:ascii="仿宋" w:hAnsi="仿宋" w:eastAsia="仿宋" w:cs="仿宋"/>
          <w:color w:val="000000" w:themeColor="text1"/>
          <w:sz w:val="32"/>
          <w:szCs w:val="32"/>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 xml:space="preserve">2025年10月20日          </w:t>
      </w:r>
    </w:p>
    <w:p w14:paraId="6989DE79">
      <w:pPr>
        <w:pStyle w:val="2"/>
        <w:keepNext w:val="0"/>
        <w:keepLines w:val="0"/>
        <w:pageBreakBefore w:val="0"/>
        <w:topLinePunct w:val="0"/>
        <w:autoSpaceDE w:val="0"/>
        <w:autoSpaceDN w:val="0"/>
        <w:bidi w:val="0"/>
        <w:spacing w:before="0" w:beforeAutospacing="0" w:after="0" w:afterAutospacing="0"/>
        <w:rPr>
          <w:rFonts w:hint="eastAsia"/>
          <w:lang w:eastAsia="zh-CN"/>
        </w:rPr>
        <w:sectPr>
          <w:footerReference r:id="rId3" w:type="default"/>
          <w:pgSz w:w="11906" w:h="16838"/>
          <w:pgMar w:top="1701" w:right="1800" w:bottom="1701" w:left="1587" w:header="851" w:footer="992" w:gutter="0"/>
          <w:pgNumType w:fmt="numberInDash"/>
          <w:cols w:space="425" w:num="1"/>
          <w:docGrid w:type="lines" w:linePitch="312" w:charSpace="0"/>
        </w:sectPr>
      </w:pPr>
    </w:p>
    <w:p w14:paraId="36EF59E1">
      <w:pPr>
        <w:pStyle w:val="2"/>
        <w:keepNext w:val="0"/>
        <w:keepLines w:val="0"/>
        <w:pageBreakBefore w:val="0"/>
        <w:topLinePunct w:val="0"/>
        <w:autoSpaceDE w:val="0"/>
        <w:autoSpaceDN w:val="0"/>
        <w:bidi w:val="0"/>
        <w:spacing w:before="0" w:beforeAutospacing="0" w:after="0" w:afterAutospacing="0"/>
        <w:rPr>
          <w:rFonts w:hint="eastAsia"/>
          <w:lang w:eastAsia="zh-CN"/>
        </w:rPr>
      </w:pPr>
    </w:p>
    <w:p w14:paraId="1C980771">
      <w:pPr>
        <w:keepNext w:val="0"/>
        <w:keepLines w:val="0"/>
        <w:pageBreakBefore w:val="0"/>
        <w:widowControl w:val="0"/>
        <w:kinsoku/>
        <w:overflowPunct w:val="0"/>
        <w:topLinePunct w:val="0"/>
        <w:autoSpaceDE w:val="0"/>
        <w:autoSpaceDN w:val="0"/>
        <w:bidi w:val="0"/>
        <w:spacing w:beforeAutospacing="0" w:afterAutospacing="0" w:line="560" w:lineRule="exact"/>
        <w:jc w:val="center"/>
        <w:textAlignment w:val="top"/>
        <w:rPr>
          <w:rFonts w:asciiTheme="majorEastAsia" w:hAnsiTheme="majorEastAsia" w:eastAsiaTheme="majorEastAsia" w:cstheme="majorEastAsia"/>
          <w:b/>
          <w:bCs/>
          <w:color w:val="000000" w:themeColor="text1"/>
          <w:spacing w:val="6"/>
          <w:sz w:val="36"/>
          <w:szCs w:val="36"/>
          <w:lang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6"/>
          <w:sz w:val="36"/>
          <w:szCs w:val="36"/>
          <w:lang w:eastAsia="zh-CN"/>
          <w14:textFill>
            <w14:solidFill>
              <w14:schemeClr w14:val="tx1"/>
            </w14:solidFill>
          </w14:textFill>
        </w:rPr>
        <w:t>长春市物业服务企业安全生产管理办法</w:t>
      </w:r>
    </w:p>
    <w:p w14:paraId="6A350203">
      <w:pPr>
        <w:keepNext w:val="0"/>
        <w:keepLines w:val="0"/>
        <w:pageBreakBefore w:val="0"/>
        <w:widowControl w:val="0"/>
        <w:kinsoku/>
        <w:overflowPunct w:val="0"/>
        <w:topLinePunct w:val="0"/>
        <w:autoSpaceDE w:val="0"/>
        <w:autoSpaceDN w:val="0"/>
        <w:bidi w:val="0"/>
        <w:spacing w:beforeAutospacing="0" w:afterAutospacing="0" w:line="560" w:lineRule="exact"/>
        <w:jc w:val="center"/>
        <w:textAlignment w:val="top"/>
        <w:rPr>
          <w:rFonts w:ascii="楷体" w:hAnsi="楷体" w:eastAsia="楷体" w:cs="楷体"/>
          <w:color w:val="000000" w:themeColor="text1"/>
          <w:spacing w:val="6"/>
          <w:sz w:val="32"/>
          <w:szCs w:val="32"/>
          <w:lang w:eastAsia="zh-CN"/>
          <w14:textFill>
            <w14:solidFill>
              <w14:schemeClr w14:val="tx1"/>
            </w14:solidFill>
          </w14:textFill>
        </w:rPr>
      </w:pPr>
      <w:bookmarkStart w:id="0" w:name="bookmark10"/>
      <w:bookmarkEnd w:id="0"/>
      <w:bookmarkStart w:id="1" w:name="bookmark11"/>
      <w:bookmarkEnd w:id="1"/>
      <w:bookmarkStart w:id="2" w:name="bookmark59"/>
      <w:bookmarkEnd w:id="2"/>
    </w:p>
    <w:p w14:paraId="65999B2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第一条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为规范本市</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行政区</w:t>
      </w:r>
      <w:r>
        <w:rPr>
          <w:rFonts w:hint="eastAsia" w:ascii="仿宋" w:hAnsi="仿宋" w:eastAsia="仿宋" w:cs="仿宋"/>
          <w:color w:val="000000" w:themeColor="text1"/>
          <w:spacing w:val="6"/>
          <w:sz w:val="32"/>
          <w:szCs w:val="32"/>
          <w:lang w:eastAsia="zh-CN"/>
          <w14:textFill>
            <w14:solidFill>
              <w14:schemeClr w14:val="tx1"/>
            </w14:solidFill>
          </w14:textFill>
        </w:rPr>
        <w:t>物业服务企业安全生产管理，预防安全生产事故发生，依据《中华人民共和国安全生产法》《物业管理条例》等法律法规,结合本市实际，制定本办法。</w:t>
      </w:r>
    </w:p>
    <w:p w14:paraId="538E8E4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本市</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行政区</w:t>
      </w:r>
      <w:r>
        <w:rPr>
          <w:rFonts w:hint="eastAsia" w:ascii="仿宋" w:hAnsi="仿宋" w:eastAsia="仿宋" w:cs="仿宋"/>
          <w:color w:val="000000" w:themeColor="text1"/>
          <w:spacing w:val="6"/>
          <w:sz w:val="32"/>
          <w:szCs w:val="32"/>
          <w:lang w:eastAsia="zh-CN"/>
          <w14:textFill>
            <w14:solidFill>
              <w14:schemeClr w14:val="tx1"/>
            </w14:solidFill>
          </w14:textFill>
        </w:rPr>
        <w:t>内物业服务企业在提供物业服务过程中涉及的安全生产管理工作，适用本办法。</w:t>
      </w:r>
    </w:p>
    <w:p w14:paraId="5CAA51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第三条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物业安全管理工作坚持安全第一，预防为主，综合治理的方针。</w:t>
      </w:r>
    </w:p>
    <w:p w14:paraId="2CFD1DB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highlight w:val="none"/>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第四条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市物业管理主管部门负责指导区、</w:t>
      </w:r>
      <w:r>
        <w:rPr>
          <w:rFonts w:hint="eastAsia" w:ascii="仿宋" w:hAnsi="仿宋" w:eastAsia="仿宋" w:cs="仿宋"/>
          <w:color w:val="000000" w:themeColor="text1"/>
          <w:sz w:val="32"/>
          <w:szCs w:val="32"/>
          <w:highlight w:val="none"/>
          <w:lang w:eastAsia="zh-CN"/>
          <w14:textFill>
            <w14:solidFill>
              <w14:schemeClr w14:val="tx1"/>
            </w14:solidFill>
          </w14:textFill>
        </w:rPr>
        <w:t>开发区</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物业管理主管部门对物业服务企业安全生产进行监督管理。</w:t>
      </w:r>
    </w:p>
    <w:p w14:paraId="415C283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highlight w:val="none"/>
          <w:lang w:eastAsia="zh-CN"/>
          <w14:textFill>
            <w14:solidFill>
              <w14:schemeClr w14:val="tx1"/>
            </w14:solidFill>
          </w14:textFill>
        </w:rPr>
      </w:pPr>
      <w:r>
        <w:rPr>
          <w:rFonts w:hint="eastAsia" w:ascii="仿宋" w:hAnsi="仿宋" w:eastAsia="仿宋" w:cs="仿宋"/>
          <w:color w:val="000000" w:themeColor="text1"/>
          <w:spacing w:val="6"/>
          <w:sz w:val="32"/>
          <w:szCs w:val="32"/>
          <w:highlight w:val="none"/>
          <w:lang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开发区</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物业管理主管部门负责本辖区内物业服务企业安全生产的监督管理工作。</w:t>
      </w:r>
    </w:p>
    <w:p w14:paraId="51DF9E5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hint="eastAsia" w:ascii="仿宋" w:hAnsi="仿宋" w:eastAsia="仿宋" w:cs="仿宋"/>
          <w:color w:val="FF0000"/>
          <w:spacing w:val="6"/>
          <w:sz w:val="32"/>
          <w:szCs w:val="32"/>
          <w:highlight w:val="none"/>
          <w:lang w:eastAsia="zh-CN"/>
        </w:rPr>
      </w:pPr>
      <w:r>
        <w:rPr>
          <w:rFonts w:hint="eastAsia" w:ascii="仿宋" w:hAnsi="仿宋" w:eastAsia="仿宋" w:cs="仿宋"/>
          <w:color w:val="000000" w:themeColor="text1"/>
          <w:spacing w:val="6"/>
          <w:sz w:val="32"/>
          <w:szCs w:val="32"/>
          <w:highlight w:val="none"/>
          <w:lang w:eastAsia="zh-CN"/>
          <w14:textFill>
            <w14:solidFill>
              <w14:schemeClr w14:val="tx1"/>
            </w14:solidFill>
          </w14:textFill>
        </w:rPr>
        <w:t>街道办事处（乡镇人民政府）按照职责，对本行政区域或者管理区域内生产经营单位安全生产状况进行监督检查，协助区物业管理主管部门依法履行安全生产监督管理职责。</w:t>
      </w:r>
    </w:p>
    <w:p w14:paraId="4AF3051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highlight w:val="none"/>
          <w:lang w:eastAsia="zh-CN"/>
          <w14:textFill>
            <w14:solidFill>
              <w14:schemeClr w14:val="tx1"/>
            </w14:solidFill>
          </w14:textFill>
        </w:rPr>
        <w:t>消防、规资、城</w:t>
      </w:r>
      <w:r>
        <w:rPr>
          <w:rFonts w:hint="eastAsia" w:ascii="仿宋" w:hAnsi="仿宋" w:eastAsia="仿宋" w:cs="仿宋"/>
          <w:color w:val="000000" w:themeColor="text1"/>
          <w:spacing w:val="6"/>
          <w:sz w:val="32"/>
          <w:szCs w:val="32"/>
          <w:lang w:eastAsia="zh-CN"/>
          <w14:textFill>
            <w14:solidFill>
              <w14:schemeClr w14:val="tx1"/>
            </w14:solidFill>
          </w14:textFill>
        </w:rPr>
        <w:t>乡建设、城市管理、市场监督管理等有关部门，电力、燃气、供热、水务等有关单位按照各自职责，依法指导监督物业服务企业安全生产相关工作。</w:t>
      </w:r>
    </w:p>
    <w:p w14:paraId="0471BFA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bookmarkStart w:id="3" w:name="bookmark15"/>
      <w:bookmarkEnd w:id="3"/>
      <w:bookmarkStart w:id="4" w:name="bookmark61"/>
      <w:bookmarkEnd w:id="4"/>
      <w:r>
        <w:rPr>
          <w:rFonts w:hint="eastAsia" w:ascii="黑体" w:hAnsi="黑体" w:eastAsia="黑体" w:cs="黑体"/>
          <w:color w:val="000000" w:themeColor="text1"/>
          <w:spacing w:val="6"/>
          <w:sz w:val="32"/>
          <w:szCs w:val="32"/>
          <w:lang w:eastAsia="zh-CN"/>
          <w14:textFill>
            <w14:solidFill>
              <w14:schemeClr w14:val="tx1"/>
            </w14:solidFill>
          </w14:textFill>
        </w:rPr>
        <w:t>第五条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物业服务企业在物业服务期内应当承担物业管理区域内的相应安全生产责任。</w:t>
      </w:r>
    </w:p>
    <w:p w14:paraId="1EE713F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物业服务企业不得以物业服务合同中未明确约定，或者已约定由其他第三方负责安全生产工作为由不履行应当由其承担的相关安全生产工作。</w:t>
      </w:r>
    </w:p>
    <w:p w14:paraId="45358BA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物业服务企业应当对管理区域内，依法由其他第三方承担的安全生产工作予以配合，提供合理必要的支持。</w:t>
      </w:r>
    </w:p>
    <w:p w14:paraId="5DEA240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第六条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物业服务企业外包专项业务时，必须选聘具有相应资质和安全生产条件的服务供应商，并与外包服务供应商依法订立书面安全协议，明确各方的安全生产管理职责和义务。</w:t>
      </w:r>
    </w:p>
    <w:p w14:paraId="6F6EBAF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highlight w:val="none"/>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物业服务企业外包多项专项业务时，承担各外包服务供应商之间的安全生产协调责任。</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物业服务企业应对外包服务供应商的安全生产情况进行定期评估，并保留评估记录。</w:t>
      </w:r>
    </w:p>
    <w:p w14:paraId="4376BEA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第七条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物业服务企业从业人员超过一百人的，应当设置安全生产管理机构或者配备专职安全生产管理人员；从业人员在一百人以下的，应当配备专职或者兼职的安全生产管理人员。</w:t>
      </w:r>
      <w:r>
        <w:rPr>
          <w:rFonts w:hint="eastAsia" w:ascii="仿宋" w:hAnsi="仿宋" w:eastAsia="仿宋" w:cs="仿宋"/>
          <w:color w:val="000000" w:themeColor="text1"/>
          <w:sz w:val="32"/>
          <w:szCs w:val="32"/>
          <w:lang w:eastAsia="zh-CN"/>
          <w14:textFill>
            <w14:solidFill>
              <w14:schemeClr w14:val="tx1"/>
            </w14:solidFill>
          </w14:textFill>
        </w:rPr>
        <w:t>物业服务企业同时承接多个物业服务项目的，所有项目均应配备相应的安全生产管理机构或者人员</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5FB3513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及其服务项目的主要负责人和安全生产管理人员应当具备物业服务相关安全生产管理知识与能力，定期对从业人员进行安全生产教育和培训，确保从业人员具备必要的安全知识，掌握本岗位的安全生产操作技能，熟悉事故现场应急处置措施。未经安全教育和培训合格的从业人员不得上岗作业。</w:t>
      </w:r>
    </w:p>
    <w:p w14:paraId="4EFE1A0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物业管理区域内特种设备设施应当由具有相应资质的专业机构实施维修、更换和保养</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2B7CDBE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第八条</w:t>
      </w:r>
      <w:r>
        <w:rPr>
          <w:rFonts w:hint="eastAsia" w:ascii="仿宋" w:hAnsi="仿宋" w:eastAsia="仿宋" w:cs="仿宋"/>
          <w:color w:val="000000" w:themeColor="text1"/>
          <w:sz w:val="32"/>
          <w:szCs w:val="32"/>
          <w:lang w:eastAsia="zh-CN"/>
          <w14:textFill>
            <w14:solidFill>
              <w14:schemeClr w14:val="tx1"/>
            </w14:solidFill>
          </w14:textFill>
        </w:rPr>
        <w:t xml:space="preserve"> 法律、法规和行业标准规定要求从业人员需要具备相关资格的岗位，物业服务企业的从业人员应当持证上岗。</w:t>
      </w:r>
    </w:p>
    <w:p w14:paraId="3A92C76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第九条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物业服务企业应当制定</w:t>
      </w:r>
      <w:r>
        <w:rPr>
          <w:rFonts w:hint="eastAsia" w:ascii="仿宋" w:hAnsi="仿宋" w:eastAsia="仿宋" w:cs="仿宋"/>
          <w:color w:val="000000" w:themeColor="text1"/>
          <w:sz w:val="32"/>
          <w:szCs w:val="32"/>
          <w:lang w:eastAsia="zh-CN"/>
          <w14:textFill>
            <w14:solidFill>
              <w14:schemeClr w14:val="tx1"/>
            </w14:solidFill>
          </w14:textFill>
        </w:rPr>
        <w:t>安全生产规章制度</w:t>
      </w:r>
      <w:r>
        <w:rPr>
          <w:rFonts w:hint="eastAsia" w:ascii="仿宋" w:hAnsi="仿宋" w:eastAsia="仿宋" w:cs="仿宋"/>
          <w:color w:val="000000" w:themeColor="text1"/>
          <w:spacing w:val="6"/>
          <w:sz w:val="32"/>
          <w:szCs w:val="32"/>
          <w:lang w:eastAsia="zh-CN"/>
          <w14:textFill>
            <w14:solidFill>
              <w14:schemeClr w14:val="tx1"/>
            </w14:solidFill>
          </w14:textFill>
        </w:rPr>
        <w:t>和存在安全风险作业的操作流程，将安全生产责任全面落实到每个岗位，并定期进行评估和考核。</w:t>
      </w:r>
      <w:r>
        <w:rPr>
          <w:rFonts w:hint="eastAsia" w:ascii="仿宋" w:hAnsi="仿宋" w:eastAsia="仿宋" w:cs="仿宋"/>
          <w:color w:val="000000" w:themeColor="text1"/>
          <w:sz w:val="32"/>
          <w:szCs w:val="32"/>
          <w:lang w:eastAsia="zh-CN"/>
          <w14:textFill>
            <w14:solidFill>
              <w14:schemeClr w14:val="tx1"/>
            </w14:solidFill>
          </w14:textFill>
        </w:rPr>
        <w:t>安全生产规章制度应当包括下列内容</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011CFD4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（一）安全生产责任制；</w:t>
      </w:r>
    </w:p>
    <w:p w14:paraId="0B68E5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（二）安全风险、隐患排查和管理；</w:t>
      </w:r>
    </w:p>
    <w:p w14:paraId="7BFF169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（三）安全教育培训；</w:t>
      </w:r>
    </w:p>
    <w:p w14:paraId="7E77010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（四）消防安全管理；</w:t>
      </w:r>
    </w:p>
    <w:p w14:paraId="108B0F6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（五）作业安全管理；</w:t>
      </w:r>
    </w:p>
    <w:p w14:paraId="778DC05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（六）房屋本体、共用设施设备及其运行与维护安全管理；</w:t>
      </w:r>
    </w:p>
    <w:p w14:paraId="5747498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（七）外包服务供应商安全生产管理；</w:t>
      </w:r>
    </w:p>
    <w:p w14:paraId="2887CE9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（八）</w:t>
      </w:r>
      <w:r>
        <w:rPr>
          <w:rFonts w:hint="eastAsia" w:ascii="仿宋" w:hAnsi="仿宋" w:eastAsia="仿宋" w:cs="仿宋"/>
          <w:color w:val="000000" w:themeColor="text1"/>
          <w:sz w:val="32"/>
          <w:szCs w:val="32"/>
          <w:lang w:eastAsia="zh-CN"/>
          <w14:textFill>
            <w14:solidFill>
              <w14:schemeClr w14:val="tx1"/>
            </w14:solidFill>
          </w14:textFill>
        </w:rPr>
        <w:t>法律、法规规定的其他内容</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7A90CBB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为确保安全生产工作有效开展，物业服务企业应当保障安全生产资金投入，建立使用台账。安全生产资金使用范围包括下列内容：</w:t>
      </w:r>
    </w:p>
    <w:p w14:paraId="2CC40A8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（一）安全检查；</w:t>
      </w:r>
    </w:p>
    <w:p w14:paraId="4D0A898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（二）员工工伤保险、个体防护用品；</w:t>
      </w:r>
    </w:p>
    <w:p w14:paraId="52915AC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（三）安全教育培训；</w:t>
      </w:r>
    </w:p>
    <w:p w14:paraId="6F1D459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bookmarkStart w:id="5" w:name="bookmark19"/>
      <w:bookmarkEnd w:id="5"/>
      <w:bookmarkStart w:id="6" w:name="bookmark64"/>
      <w:bookmarkEnd w:id="6"/>
      <w:r>
        <w:rPr>
          <w:rFonts w:hint="eastAsia" w:ascii="仿宋" w:hAnsi="仿宋" w:eastAsia="仿宋" w:cs="仿宋"/>
          <w:color w:val="000000" w:themeColor="text1"/>
          <w:spacing w:val="6"/>
          <w:sz w:val="32"/>
          <w:szCs w:val="32"/>
          <w:lang w:eastAsia="zh-CN"/>
          <w14:textFill>
            <w14:solidFill>
              <w14:schemeClr w14:val="tx1"/>
            </w14:solidFill>
          </w14:textFill>
        </w:rPr>
        <w:t>（四）安全防护设施及安全标识、应急救援器材、应急演练；</w:t>
      </w:r>
    </w:p>
    <w:p w14:paraId="12E3793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（五）安全设施及特种设备检测检验；</w:t>
      </w:r>
    </w:p>
    <w:p w14:paraId="26298A5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（六）风险、隐患的评估、监控和整改；</w:t>
      </w:r>
    </w:p>
    <w:p w14:paraId="4C4813C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（七）其他安全生产支出。</w:t>
      </w:r>
    </w:p>
    <w:p w14:paraId="07394DC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第十一条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物业服务企业应当根据管理区域实际，针对服务过程中可能发生的安全事故预先制定应急预案，</w:t>
      </w:r>
      <w:r>
        <w:rPr>
          <w:rFonts w:hint="eastAsia" w:ascii="仿宋" w:hAnsi="仿宋" w:eastAsia="仿宋" w:cs="仿宋"/>
          <w:color w:val="000000" w:themeColor="text1"/>
          <w:sz w:val="32"/>
          <w:szCs w:val="32"/>
          <w:lang w:eastAsia="zh-CN"/>
          <w14:textFill>
            <w14:solidFill>
              <w14:schemeClr w14:val="tx1"/>
            </w14:solidFill>
          </w14:textFill>
        </w:rPr>
        <w:t>并定期组织应急预案演练</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16EA594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第十二条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物业服务企业应当采用综合检查、专项检查、季节性检查、节假日检查、日常检查、极端天气检查等方式，在物业管理区域内开展安全风险和隐患排查工作，并做好记录</w:t>
      </w:r>
      <w:r>
        <w:rPr>
          <w:rFonts w:hint="eastAsia" w:ascii="仿宋" w:hAnsi="仿宋" w:eastAsia="仿宋" w:cs="仿宋"/>
          <w:color w:val="000000" w:themeColor="text1"/>
          <w:spacing w:val="6"/>
          <w:sz w:val="32"/>
          <w:szCs w:val="32"/>
          <w:lang w:eastAsia="zh-CN"/>
          <w14:textFill>
            <w14:solidFill>
              <w14:schemeClr w14:val="tx1"/>
            </w14:solidFill>
          </w14:textFill>
        </w:rPr>
        <w:t>。包括下列事项：</w:t>
      </w:r>
    </w:p>
    <w:p w14:paraId="37C94AB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（一）根据安全风险、隐患排查情况，及时制定落实管理、监控、整治措施；</w:t>
      </w:r>
    </w:p>
    <w:p w14:paraId="6C102D4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（二）对风险、隐患进行分级、分类治理，按照有关规定及时向负有安全生产监督管理职责的有关部门报告重大事故隐患；</w:t>
      </w:r>
    </w:p>
    <w:p w14:paraId="2D3B6EA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（三）对不属于物业服务企业责任范围内整改项</w:t>
      </w:r>
      <w:bookmarkStart w:id="26" w:name="_GoBack"/>
      <w:bookmarkEnd w:id="26"/>
      <w:r>
        <w:rPr>
          <w:rFonts w:hint="eastAsia" w:ascii="仿宋" w:hAnsi="仿宋" w:eastAsia="仿宋" w:cs="仿宋"/>
          <w:color w:val="000000" w:themeColor="text1"/>
          <w:spacing w:val="6"/>
          <w:sz w:val="32"/>
          <w:szCs w:val="32"/>
          <w:lang w:eastAsia="zh-CN"/>
          <w14:textFill>
            <w14:solidFill>
              <w14:schemeClr w14:val="tx1"/>
            </w14:solidFill>
          </w14:textFill>
        </w:rPr>
        <w:t>目，及时将风险、隐患情况告知业主、使用单位（使用人）及相关主管部门，采取必要的临时性措施避免事故发生；</w:t>
      </w:r>
    </w:p>
    <w:p w14:paraId="5A7DBE1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（四）风险、隐患治理前和治理中，采取相应防范措施确保安全；</w:t>
      </w:r>
    </w:p>
    <w:p w14:paraId="0B5D1B4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（五）风险、隐患治理完成后，按有关规定对治理情况进行评估、验收。</w:t>
      </w:r>
    </w:p>
    <w:p w14:paraId="502DCDA6">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firstLine="664" w:firstLineChars="200"/>
        <w:jc w:val="both"/>
        <w:textAlignment w:val="baseline"/>
        <w:rPr>
          <w:rFonts w:hint="eastAsia" w:ascii="仿宋" w:hAnsi="仿宋" w:eastAsia="仿宋" w:cs="仿宋"/>
          <w:snapToGrid w:val="0"/>
          <w:color w:val="000000" w:themeColor="text1"/>
          <w:spacing w:val="6"/>
          <w:sz w:val="32"/>
          <w:szCs w:val="32"/>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6"/>
          <w:sz w:val="32"/>
          <w:szCs w:val="32"/>
          <w:highlight w:val="none"/>
          <w:lang w:val="en-US" w:eastAsia="zh-CN" w:bidi="ar-SA"/>
          <w14:textFill>
            <w14:solidFill>
              <w14:schemeClr w14:val="tx1"/>
            </w14:solidFill>
          </w14:textFill>
        </w:rPr>
        <w:t>鼓励物业服务企业运用信息化手段开展安全风险排查和隐患治理，建立电子台账，实现动态管理。</w:t>
      </w:r>
    </w:p>
    <w:p w14:paraId="6ADF674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highlight w:val="none"/>
          <w:lang w:eastAsia="zh-CN"/>
          <w14:textFill>
            <w14:solidFill>
              <w14:schemeClr w14:val="tx1"/>
            </w14:solidFill>
          </w14:textFill>
        </w:rPr>
        <w:t>第十三条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物业管理区域内发生的属于建设工程保修范围的质量安全问题，物业服务企业应当及时告知业主、使用单位（使用人）和建设单位，并督促建设单位依法履行保修义务</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3F7B4FC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第十四条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物业服务企业应当在存在较大危险因素的作业场所和设施设备现场设置明显的安全警示标识，并保持其完好。设置区域、部位和类型应当符合有关要求，包括下列部位及场所：</w:t>
      </w:r>
    </w:p>
    <w:p w14:paraId="07250B1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（一）在天台、护栏、玻璃门、喷泉、景观等可能危及人身安全处设置；</w:t>
      </w:r>
    </w:p>
    <w:p w14:paraId="7BB9B75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（二）在配电箱、通电设施设备、特种设备上设置；</w:t>
      </w:r>
    </w:p>
    <w:p w14:paraId="335F764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（三）在设施设备、施工、吊装检查维修等作业现场、检查维修现场的坑、井、渠、沟、陡坡等场所设置；</w:t>
      </w:r>
    </w:p>
    <w:p w14:paraId="53B21D6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（四）在门禁门、防火门、设备房门、管井门、消防通道门等设置；</w:t>
      </w:r>
    </w:p>
    <w:p w14:paraId="4644705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（五）在其他存在安全风险或隐患的设施设备、场所设置。</w:t>
      </w:r>
    </w:p>
    <w:p w14:paraId="35FBCD6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第十五条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物业服务企业应当加强自身作业安全管理，有关工具、防护用品应检测合格，并应在有效期限内。</w:t>
      </w:r>
    </w:p>
    <w:p w14:paraId="11A5B7F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在动火作业、高处作业、受限空间作业、密闭空间作业、吊装作业、破土作业、断路作业、设备检修维修和临时用电等危险作业前，物业服务企业</w:t>
      </w:r>
      <w:r>
        <w:rPr>
          <w:rFonts w:hint="eastAsia" w:ascii="仿宋" w:hAnsi="仿宋" w:eastAsia="仿宋" w:cs="仿宋"/>
          <w:color w:val="000000" w:themeColor="text1"/>
          <w:sz w:val="32"/>
          <w:szCs w:val="32"/>
          <w:lang w:eastAsia="zh-CN"/>
          <w14:textFill>
            <w14:solidFill>
              <w14:schemeClr w14:val="tx1"/>
            </w14:solidFill>
          </w14:textFill>
        </w:rPr>
        <w:t>应当制定或者督促相关单位制定</w:t>
      </w:r>
      <w:r>
        <w:rPr>
          <w:rFonts w:hint="eastAsia" w:ascii="仿宋" w:hAnsi="仿宋" w:eastAsia="仿宋" w:cs="仿宋"/>
          <w:color w:val="000000" w:themeColor="text1"/>
          <w:spacing w:val="6"/>
          <w:sz w:val="32"/>
          <w:szCs w:val="32"/>
          <w:lang w:eastAsia="zh-CN"/>
          <w14:textFill>
            <w14:solidFill>
              <w14:schemeClr w14:val="tx1"/>
            </w14:solidFill>
          </w14:textFill>
        </w:rPr>
        <w:t>有效可行的安全作业方案和应急措施，落实相关审批手续和监护责任后方可作业。</w:t>
      </w:r>
    </w:p>
    <w:p w14:paraId="2ABE930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第十六条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加强房屋本体安全管理，根据相关规定对房屋本体进行承接查验。对门厅、过道、楼梯定期检查，及时维修、维护易损坏的部位，保持正常的使用功能，消除安全隐患，确保消防设施、器材、消防安全标志完好有效。</w:t>
      </w:r>
    </w:p>
    <w:p w14:paraId="6439DBA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物业服务企业应当加强管理区域内房屋装修登记管理，将</w:t>
      </w:r>
      <w:r>
        <w:rPr>
          <w:rFonts w:hint="eastAsia" w:ascii="仿宋" w:hAnsi="仿宋" w:eastAsia="仿宋" w:cs="仿宋"/>
          <w:color w:val="000000" w:themeColor="text1"/>
          <w:sz w:val="32"/>
          <w:szCs w:val="32"/>
          <w:lang w:eastAsia="zh-CN"/>
          <w14:textFill>
            <w14:solidFill>
              <w14:schemeClr w14:val="tx1"/>
            </w14:solidFill>
          </w14:textFill>
        </w:rPr>
        <w:t>禁止行为和注意事项告知装修人和装修人委托的装修企业，做好</w:t>
      </w:r>
      <w:r>
        <w:rPr>
          <w:rFonts w:hint="eastAsia" w:ascii="仿宋" w:hAnsi="仿宋" w:eastAsia="仿宋" w:cs="仿宋"/>
          <w:color w:val="000000" w:themeColor="text1"/>
          <w:spacing w:val="6"/>
          <w:sz w:val="32"/>
          <w:szCs w:val="32"/>
          <w:lang w:eastAsia="zh-CN"/>
          <w14:textFill>
            <w14:solidFill>
              <w14:schemeClr w14:val="tx1"/>
            </w14:solidFill>
          </w14:textFill>
        </w:rPr>
        <w:t>日常巡查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监督业主（使用人）在装修过程中不得拆改建筑物承重结构和实施其他影响安全的行为。</w:t>
      </w:r>
    </w:p>
    <w:p w14:paraId="6B9CB16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top"/>
        <w:rPr>
          <w:rFonts w:ascii="仿宋" w:hAnsi="仿宋" w:eastAsia="仿宋" w:cs="仿宋"/>
          <w:color w:val="000000" w:themeColor="text1"/>
          <w:spacing w:val="6"/>
          <w:sz w:val="32"/>
          <w:szCs w:val="32"/>
          <w:highlight w:val="yellow"/>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物业服务企业应当采取必要的安全保障措施防止建筑物、构筑物或者其他设施及其搁置物、悬挂物发生脱落、坠落，并定期开展宣传和巡视，防止高空抛物</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1B797BE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第十七条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物业服务企业应当对物业管理区域内的消防重点防范区域进行巡检、巡查，针对异常情况，</w:t>
      </w:r>
      <w:r>
        <w:rPr>
          <w:rFonts w:hint="eastAsia" w:ascii="仿宋" w:hAnsi="仿宋" w:eastAsia="仿宋" w:cs="仿宋"/>
          <w:color w:val="000000" w:themeColor="text1"/>
          <w:sz w:val="32"/>
          <w:szCs w:val="32"/>
          <w:lang w:eastAsia="zh-CN"/>
          <w14:textFill>
            <w14:solidFill>
              <w14:schemeClr w14:val="tx1"/>
            </w14:solidFill>
          </w14:textFill>
        </w:rPr>
        <w:t>及时按照有关规定排除、处理安全风险和隐患</w:t>
      </w:r>
      <w:r>
        <w:rPr>
          <w:rFonts w:hint="eastAsia" w:ascii="仿宋" w:hAnsi="仿宋" w:eastAsia="仿宋" w:cs="仿宋"/>
          <w:color w:val="000000" w:themeColor="text1"/>
          <w:spacing w:val="6"/>
          <w:sz w:val="32"/>
          <w:szCs w:val="32"/>
          <w:lang w:eastAsia="zh-CN"/>
          <w14:textFill>
            <w14:solidFill>
              <w14:schemeClr w14:val="tx1"/>
            </w14:solidFill>
          </w14:textFill>
        </w:rPr>
        <w:t>，并将巡查、排除、处理等情况进行记录保存。</w:t>
      </w:r>
      <w:bookmarkStart w:id="7" w:name="bookmark30"/>
      <w:bookmarkEnd w:id="7"/>
      <w:bookmarkStart w:id="8" w:name="bookmark32"/>
      <w:bookmarkEnd w:id="8"/>
      <w:bookmarkStart w:id="9" w:name="bookmark68"/>
      <w:bookmarkEnd w:id="9"/>
      <w:bookmarkStart w:id="10" w:name="bookmark31"/>
      <w:bookmarkEnd w:id="10"/>
      <w:bookmarkStart w:id="11" w:name="bookmark24"/>
      <w:bookmarkEnd w:id="11"/>
    </w:p>
    <w:p w14:paraId="00D1BAC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bookmarkStart w:id="12" w:name="bookmark45"/>
      <w:bookmarkEnd w:id="12"/>
      <w:bookmarkStart w:id="13" w:name="bookmark41"/>
      <w:bookmarkEnd w:id="13"/>
      <w:bookmarkStart w:id="14" w:name="bookmark40"/>
      <w:bookmarkEnd w:id="14"/>
      <w:bookmarkStart w:id="15" w:name="bookmark39"/>
      <w:bookmarkEnd w:id="15"/>
      <w:bookmarkStart w:id="16" w:name="bookmark46"/>
      <w:bookmarkEnd w:id="16"/>
      <w:bookmarkStart w:id="17" w:name="bookmark43"/>
      <w:bookmarkEnd w:id="17"/>
      <w:bookmarkStart w:id="18" w:name="bookmark42"/>
      <w:bookmarkEnd w:id="18"/>
      <w:bookmarkStart w:id="19" w:name="bookmark33"/>
      <w:bookmarkEnd w:id="19"/>
      <w:bookmarkStart w:id="20" w:name="bookmark44"/>
      <w:bookmarkEnd w:id="20"/>
      <w:r>
        <w:rPr>
          <w:rFonts w:hint="eastAsia" w:ascii="黑体" w:hAnsi="黑体" w:eastAsia="黑体" w:cs="黑体"/>
          <w:color w:val="000000" w:themeColor="text1"/>
          <w:spacing w:val="6"/>
          <w:sz w:val="32"/>
          <w:szCs w:val="32"/>
          <w:lang w:eastAsia="zh-CN"/>
          <w14:textFill>
            <w14:solidFill>
              <w14:schemeClr w14:val="tx1"/>
            </w14:solidFill>
          </w14:textFill>
        </w:rPr>
        <w:t>第十八条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物业服务企业应当建立健全物业管理区域内电动自行车停放与充电、群租房、消防水系统等专项安全管理制度，开展日常巡查，配合有关部门、单位共同做好安全管理。</w:t>
      </w:r>
      <w:bookmarkStart w:id="21" w:name="bookmark54"/>
      <w:bookmarkEnd w:id="21"/>
      <w:bookmarkStart w:id="22" w:name="bookmark51"/>
      <w:bookmarkEnd w:id="22"/>
      <w:bookmarkStart w:id="23" w:name="bookmark53"/>
      <w:bookmarkEnd w:id="23"/>
    </w:p>
    <w:p w14:paraId="10F45D5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第十九条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管理区域内发生安全事故时，物业服务企业应当迅速采取有效措施组织抢救，防止事故扩大，减少人员伤亡和财产损失，保护好现场并立即上报有关部门。做好事故发生的过程记录，积极主动配合相关部门妥善处理善后事宜。</w:t>
      </w:r>
      <w:bookmarkStart w:id="24" w:name="bookmark20"/>
      <w:bookmarkEnd w:id="24"/>
      <w:bookmarkStart w:id="25" w:name="bookmark65"/>
      <w:bookmarkEnd w:id="25"/>
    </w:p>
    <w:p w14:paraId="70F9E88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定期对安全生产状况进行评价和评估，每年对安全生产的法律法规、标准规范、规章制度、操作规程等执行情况进行检查评价。对不符合安全操作规程的情况分类进行分析和研究，对已发生的安全事故进行全面分析，总结经验避免同类事故再次发生。</w:t>
      </w:r>
    </w:p>
    <w:p w14:paraId="4FFCA01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第二十一条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物业服务企业应当根据评价情况、安全检查反馈的问题、生产安全事故案例等，及时对安全生产管理规章制度和操作规程进行持续改进，确保切实有效和适用，不断提高安全管理水平。</w:t>
      </w:r>
    </w:p>
    <w:p w14:paraId="20F1FFE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第二十二条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物业行业协会应当依照法律、行政法规和章程，为物业服务企业提供安全生产方面的信息、培训等服务，发挥自律作用，促进物业服务企业加强安全生产管理。</w:t>
      </w:r>
    </w:p>
    <w:p w14:paraId="128235A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highlight w:val="none"/>
          <w:lang w:eastAsia="zh-CN"/>
          <w14:textFill>
            <w14:solidFill>
              <w14:schemeClr w14:val="tx1"/>
            </w14:solidFill>
          </w14:textFill>
        </w:rPr>
        <w:t>第二十三条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物业服务企业未履行安全生产职责的，由区、开发区物业管理主管部门依法予以处置；构成犯罪的，由相关部门依法处罚。</w:t>
      </w:r>
    </w:p>
    <w:p w14:paraId="27DFC1AD">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firstLine="664" w:firstLineChars="200"/>
        <w:jc w:val="both"/>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第二十四条</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农安县、榆树市、德惠市和公主岭市辖区内的物业服务安全生产管理工作可参照本办法执行。</w:t>
      </w:r>
    </w:p>
    <w:p w14:paraId="50184AF6">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firstLine="664" w:firstLineChars="200"/>
        <w:jc w:val="both"/>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第二十五条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本办法自2025年</w:t>
      </w:r>
      <w:r>
        <w:rPr>
          <w:rFonts w:hint="eastAsia" w:ascii="仿宋" w:hAnsi="仿宋" w:eastAsia="仿宋" w:cs="仿宋"/>
          <w:color w:val="000000" w:themeColor="text1"/>
          <w:spacing w:val="6"/>
          <w:sz w:val="32"/>
          <w:szCs w:val="32"/>
          <w:lang w:val="en-US" w:eastAsia="zh-CN"/>
          <w14:textFill>
            <w14:solidFill>
              <w14:schemeClr w14:val="tx1"/>
            </w14:solidFill>
          </w14:textFill>
        </w:rPr>
        <w:t>10</w:t>
      </w:r>
      <w:r>
        <w:rPr>
          <w:rFonts w:hint="eastAsia" w:ascii="仿宋" w:hAnsi="仿宋" w:eastAsia="仿宋" w:cs="仿宋"/>
          <w:color w:val="000000" w:themeColor="text1"/>
          <w:spacing w:val="6"/>
          <w:sz w:val="32"/>
          <w:szCs w:val="32"/>
          <w:lang w:eastAsia="zh-CN"/>
          <w14:textFill>
            <w14:solidFill>
              <w14:schemeClr w14:val="tx1"/>
            </w14:solidFill>
          </w14:textFill>
        </w:rPr>
        <w:t>月</w:t>
      </w:r>
      <w:r>
        <w:rPr>
          <w:rFonts w:hint="eastAsia" w:ascii="仿宋" w:hAnsi="仿宋" w:eastAsia="仿宋" w:cs="仿宋"/>
          <w:color w:val="000000" w:themeColor="text1"/>
          <w:spacing w:val="6"/>
          <w:sz w:val="32"/>
          <w:szCs w:val="32"/>
          <w:lang w:val="en-US" w:eastAsia="zh-CN"/>
          <w14:textFill>
            <w14:solidFill>
              <w14:schemeClr w14:val="tx1"/>
            </w14:solidFill>
          </w14:textFill>
        </w:rPr>
        <w:t>20</w:t>
      </w:r>
      <w:r>
        <w:rPr>
          <w:rFonts w:hint="eastAsia" w:ascii="仿宋" w:hAnsi="仿宋" w:eastAsia="仿宋" w:cs="仿宋"/>
          <w:color w:val="000000" w:themeColor="text1"/>
          <w:spacing w:val="6"/>
          <w:sz w:val="32"/>
          <w:szCs w:val="32"/>
          <w:lang w:eastAsia="zh-CN"/>
          <w14:textFill>
            <w14:solidFill>
              <w14:schemeClr w14:val="tx1"/>
            </w14:solidFill>
          </w14:textFill>
        </w:rPr>
        <w:t>日起施行。</w:t>
      </w:r>
    </w:p>
    <w:sectPr>
      <w:footerReference r:id="rId4" w:type="default"/>
      <w:pgSz w:w="11906" w:h="16838"/>
      <w:pgMar w:top="1701" w:right="1474" w:bottom="170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2596">
    <w:pPr>
      <w:pStyle w:val="4"/>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AE74E">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4AE74E">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1D9D">
    <w:pPr>
      <w:pStyle w:val="4"/>
      <w:spacing w:line="14" w:lineRule="auto"/>
      <w:rPr>
        <w:sz w:val="2"/>
      </w:rPr>
    </w:pPr>
    <w:r>
      <w:rPr>
        <w:sz w:val="2"/>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F90F0">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2F90F0">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ZWUwMDgwOTQwYTg4OTcxZjE2NjIwZTIzMTI1YjcifQ=="/>
  </w:docVars>
  <w:rsids>
    <w:rsidRoot w:val="63E1548E"/>
    <w:rsid w:val="005D6ECB"/>
    <w:rsid w:val="006E75CC"/>
    <w:rsid w:val="00D97D57"/>
    <w:rsid w:val="00F268FB"/>
    <w:rsid w:val="01813D91"/>
    <w:rsid w:val="023D1F3B"/>
    <w:rsid w:val="02613495"/>
    <w:rsid w:val="02617E08"/>
    <w:rsid w:val="038F116C"/>
    <w:rsid w:val="046643CE"/>
    <w:rsid w:val="04ED41A7"/>
    <w:rsid w:val="054F6C10"/>
    <w:rsid w:val="05D0030C"/>
    <w:rsid w:val="05FA06DD"/>
    <w:rsid w:val="0698721F"/>
    <w:rsid w:val="06F7755F"/>
    <w:rsid w:val="07414C7E"/>
    <w:rsid w:val="074309F6"/>
    <w:rsid w:val="077611A1"/>
    <w:rsid w:val="089B1EC4"/>
    <w:rsid w:val="09CD7CB0"/>
    <w:rsid w:val="0AB063A2"/>
    <w:rsid w:val="0AB45767"/>
    <w:rsid w:val="0B1934B2"/>
    <w:rsid w:val="0B1A3A0F"/>
    <w:rsid w:val="0C4E2B00"/>
    <w:rsid w:val="0CB6660A"/>
    <w:rsid w:val="0CE42333"/>
    <w:rsid w:val="0D525A91"/>
    <w:rsid w:val="0E193821"/>
    <w:rsid w:val="0E2A646C"/>
    <w:rsid w:val="0E4E725B"/>
    <w:rsid w:val="0F61774B"/>
    <w:rsid w:val="1347719F"/>
    <w:rsid w:val="13BE3B38"/>
    <w:rsid w:val="13E23345"/>
    <w:rsid w:val="145D29CB"/>
    <w:rsid w:val="14DC2AD9"/>
    <w:rsid w:val="15890C7B"/>
    <w:rsid w:val="15C26F8A"/>
    <w:rsid w:val="15F8467B"/>
    <w:rsid w:val="162C713C"/>
    <w:rsid w:val="16815F29"/>
    <w:rsid w:val="169F1079"/>
    <w:rsid w:val="176B05E2"/>
    <w:rsid w:val="18C3168C"/>
    <w:rsid w:val="19061883"/>
    <w:rsid w:val="198F7168"/>
    <w:rsid w:val="1A1F2BFD"/>
    <w:rsid w:val="1A9544D2"/>
    <w:rsid w:val="1AA232C9"/>
    <w:rsid w:val="1B081EE5"/>
    <w:rsid w:val="1D027DA6"/>
    <w:rsid w:val="1E534DC6"/>
    <w:rsid w:val="206041A8"/>
    <w:rsid w:val="21134B3E"/>
    <w:rsid w:val="21A6760F"/>
    <w:rsid w:val="224433AA"/>
    <w:rsid w:val="22F34A05"/>
    <w:rsid w:val="235F22BC"/>
    <w:rsid w:val="2432177F"/>
    <w:rsid w:val="25B56073"/>
    <w:rsid w:val="264755DA"/>
    <w:rsid w:val="264F6618"/>
    <w:rsid w:val="267166CF"/>
    <w:rsid w:val="267C4F33"/>
    <w:rsid w:val="26FD6C69"/>
    <w:rsid w:val="2759312C"/>
    <w:rsid w:val="276A3393"/>
    <w:rsid w:val="29220014"/>
    <w:rsid w:val="29464110"/>
    <w:rsid w:val="299F9780"/>
    <w:rsid w:val="29F050DC"/>
    <w:rsid w:val="2A367122"/>
    <w:rsid w:val="2A421663"/>
    <w:rsid w:val="2AB078A1"/>
    <w:rsid w:val="2AD256CE"/>
    <w:rsid w:val="2B9845BD"/>
    <w:rsid w:val="2BB02055"/>
    <w:rsid w:val="2BD1BDE5"/>
    <w:rsid w:val="2BE15960"/>
    <w:rsid w:val="2C0B6B11"/>
    <w:rsid w:val="2C271DE5"/>
    <w:rsid w:val="2CFF241A"/>
    <w:rsid w:val="2D394446"/>
    <w:rsid w:val="2E5F4D7C"/>
    <w:rsid w:val="2F633B3D"/>
    <w:rsid w:val="2F650C5A"/>
    <w:rsid w:val="2F6C023B"/>
    <w:rsid w:val="30920E88"/>
    <w:rsid w:val="324E146A"/>
    <w:rsid w:val="328839D7"/>
    <w:rsid w:val="32D3237F"/>
    <w:rsid w:val="33310A59"/>
    <w:rsid w:val="34274EEA"/>
    <w:rsid w:val="348F0527"/>
    <w:rsid w:val="34A4017D"/>
    <w:rsid w:val="355D49EB"/>
    <w:rsid w:val="356B757B"/>
    <w:rsid w:val="3669667A"/>
    <w:rsid w:val="373F724F"/>
    <w:rsid w:val="380D00E1"/>
    <w:rsid w:val="38404961"/>
    <w:rsid w:val="387C7014"/>
    <w:rsid w:val="388572C9"/>
    <w:rsid w:val="399E4FC1"/>
    <w:rsid w:val="39E10B24"/>
    <w:rsid w:val="3A993EAE"/>
    <w:rsid w:val="3AEF1D20"/>
    <w:rsid w:val="3C242C38"/>
    <w:rsid w:val="3C687FDC"/>
    <w:rsid w:val="3CD53327"/>
    <w:rsid w:val="3CD825B8"/>
    <w:rsid w:val="3D40563C"/>
    <w:rsid w:val="3D7402A2"/>
    <w:rsid w:val="3D7FDEC7"/>
    <w:rsid w:val="3DC53CB8"/>
    <w:rsid w:val="408C0D5E"/>
    <w:rsid w:val="409741F1"/>
    <w:rsid w:val="40CB4A37"/>
    <w:rsid w:val="415306B0"/>
    <w:rsid w:val="433575D3"/>
    <w:rsid w:val="43433935"/>
    <w:rsid w:val="43CC3598"/>
    <w:rsid w:val="43D1374D"/>
    <w:rsid w:val="43E42FB9"/>
    <w:rsid w:val="441D624B"/>
    <w:rsid w:val="457001E5"/>
    <w:rsid w:val="45BD3146"/>
    <w:rsid w:val="45CB05CF"/>
    <w:rsid w:val="45FF7A66"/>
    <w:rsid w:val="46300235"/>
    <w:rsid w:val="46445615"/>
    <w:rsid w:val="46F721FC"/>
    <w:rsid w:val="47580583"/>
    <w:rsid w:val="477E05C9"/>
    <w:rsid w:val="478005D2"/>
    <w:rsid w:val="479221F8"/>
    <w:rsid w:val="47D7488F"/>
    <w:rsid w:val="48233A4F"/>
    <w:rsid w:val="48942F22"/>
    <w:rsid w:val="4A18529C"/>
    <w:rsid w:val="4A2A4B22"/>
    <w:rsid w:val="4A774324"/>
    <w:rsid w:val="4BBC21EF"/>
    <w:rsid w:val="4C6B2A2B"/>
    <w:rsid w:val="4D2717ED"/>
    <w:rsid w:val="4D2B5355"/>
    <w:rsid w:val="4D551EB6"/>
    <w:rsid w:val="4D7757D0"/>
    <w:rsid w:val="4DBD2832"/>
    <w:rsid w:val="4EBFEC03"/>
    <w:rsid w:val="4F9111A0"/>
    <w:rsid w:val="50C63DF0"/>
    <w:rsid w:val="51606F67"/>
    <w:rsid w:val="524E3378"/>
    <w:rsid w:val="52B14033"/>
    <w:rsid w:val="5391176E"/>
    <w:rsid w:val="54745318"/>
    <w:rsid w:val="54797922"/>
    <w:rsid w:val="54C2149E"/>
    <w:rsid w:val="55C027DF"/>
    <w:rsid w:val="55F94452"/>
    <w:rsid w:val="56BF4844"/>
    <w:rsid w:val="56D70B89"/>
    <w:rsid w:val="57FF6531"/>
    <w:rsid w:val="5A7122F9"/>
    <w:rsid w:val="5AC97A40"/>
    <w:rsid w:val="5B0D5193"/>
    <w:rsid w:val="5B2435F7"/>
    <w:rsid w:val="5C040806"/>
    <w:rsid w:val="5D017965"/>
    <w:rsid w:val="5E8545C5"/>
    <w:rsid w:val="5F5161E3"/>
    <w:rsid w:val="5FA0576E"/>
    <w:rsid w:val="6141565B"/>
    <w:rsid w:val="617F24FC"/>
    <w:rsid w:val="61867B8D"/>
    <w:rsid w:val="62B965EC"/>
    <w:rsid w:val="62BB6808"/>
    <w:rsid w:val="63402869"/>
    <w:rsid w:val="63C40900"/>
    <w:rsid w:val="63E1548E"/>
    <w:rsid w:val="64372E50"/>
    <w:rsid w:val="646A2293"/>
    <w:rsid w:val="65472B37"/>
    <w:rsid w:val="66135F11"/>
    <w:rsid w:val="67981871"/>
    <w:rsid w:val="67985E49"/>
    <w:rsid w:val="680A39FF"/>
    <w:rsid w:val="683F1CAB"/>
    <w:rsid w:val="68D612A9"/>
    <w:rsid w:val="6910451E"/>
    <w:rsid w:val="6A894958"/>
    <w:rsid w:val="6AA47B81"/>
    <w:rsid w:val="6B92518A"/>
    <w:rsid w:val="6BF5742D"/>
    <w:rsid w:val="6C663340"/>
    <w:rsid w:val="6CE4695B"/>
    <w:rsid w:val="6CEA21C3"/>
    <w:rsid w:val="6CEB7CE9"/>
    <w:rsid w:val="6EA32620"/>
    <w:rsid w:val="6F7E0BA4"/>
    <w:rsid w:val="6FA04EC3"/>
    <w:rsid w:val="6FBF4B02"/>
    <w:rsid w:val="6FC85E2C"/>
    <w:rsid w:val="6FDFEB59"/>
    <w:rsid w:val="70070C48"/>
    <w:rsid w:val="706A1AA4"/>
    <w:rsid w:val="70B15565"/>
    <w:rsid w:val="70D912AC"/>
    <w:rsid w:val="715B1CD3"/>
    <w:rsid w:val="719C6C15"/>
    <w:rsid w:val="726A5AEB"/>
    <w:rsid w:val="72BF1B1E"/>
    <w:rsid w:val="7305737D"/>
    <w:rsid w:val="73441F01"/>
    <w:rsid w:val="736B748E"/>
    <w:rsid w:val="737F139A"/>
    <w:rsid w:val="73964688"/>
    <w:rsid w:val="73C1083E"/>
    <w:rsid w:val="74681C20"/>
    <w:rsid w:val="749869A9"/>
    <w:rsid w:val="74CC2694"/>
    <w:rsid w:val="765C0691"/>
    <w:rsid w:val="76A41635"/>
    <w:rsid w:val="76D65566"/>
    <w:rsid w:val="773A6661"/>
    <w:rsid w:val="77FD2A62"/>
    <w:rsid w:val="77FDA22C"/>
    <w:rsid w:val="786F7A21"/>
    <w:rsid w:val="78B8391E"/>
    <w:rsid w:val="790C7CCC"/>
    <w:rsid w:val="79A2114A"/>
    <w:rsid w:val="79FFADE3"/>
    <w:rsid w:val="7A3E76AA"/>
    <w:rsid w:val="7AA726BF"/>
    <w:rsid w:val="7B0A533F"/>
    <w:rsid w:val="7B1242D4"/>
    <w:rsid w:val="7B27491F"/>
    <w:rsid w:val="7B7F441F"/>
    <w:rsid w:val="7B877535"/>
    <w:rsid w:val="7DCB394B"/>
    <w:rsid w:val="7DFD2B19"/>
    <w:rsid w:val="7E38773D"/>
    <w:rsid w:val="7E422585"/>
    <w:rsid w:val="7E446A71"/>
    <w:rsid w:val="7F1A39AC"/>
    <w:rsid w:val="7F6C31F6"/>
    <w:rsid w:val="7F994EE9"/>
    <w:rsid w:val="7FD10FC1"/>
    <w:rsid w:val="7FEA5159"/>
    <w:rsid w:val="BDBF64BF"/>
    <w:rsid w:val="CF6A7D1A"/>
    <w:rsid w:val="CFAAF8B2"/>
    <w:rsid w:val="DEFD03F3"/>
    <w:rsid w:val="E2EC127C"/>
    <w:rsid w:val="F6F7D8FF"/>
    <w:rsid w:val="F7EBB950"/>
    <w:rsid w:val="FF7FBE13"/>
    <w:rsid w:val="FFE7376C"/>
    <w:rsid w:val="FFEE3A15"/>
    <w:rsid w:val="FFFCA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pPr>
    <w:rPr>
      <w:rFonts w:ascii="宋体" w:hAnsi="宋体" w:eastAsia="宋体" w:cs="宋体"/>
      <w:sz w:val="24"/>
      <w:szCs w:val="24"/>
    </w:rPr>
  </w:style>
  <w:style w:type="paragraph" w:styleId="3">
    <w:name w:val="Body Text Indent"/>
    <w:basedOn w:val="1"/>
    <w:qFormat/>
    <w:uiPriority w:val="0"/>
    <w:pPr>
      <w:spacing w:after="120"/>
      <w:ind w:left="420" w:leftChars="200"/>
    </w:pPr>
  </w:style>
  <w:style w:type="paragraph" w:styleId="4">
    <w:name w:val="Body Text"/>
    <w:basedOn w:val="1"/>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pPr>
    <w:rPr>
      <w:rFonts w:cs="Times New Roman"/>
      <w:sz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3342</Words>
  <Characters>3350</Characters>
  <Lines>22</Lines>
  <Paragraphs>6</Paragraphs>
  <TotalTime>20</TotalTime>
  <ScaleCrop>false</ScaleCrop>
  <LinksUpToDate>false</LinksUpToDate>
  <CharactersWithSpaces>3391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2024-05-17T09:36:00Z</dcterms:created>
  <dc:creator>杨正红</dc:creator>
  <cp:lastModifiedBy>独角兽。</cp:lastModifiedBy>
  <cp:lastPrinted>2025-09-06T07:26:00Z</cp:lastPrinted>
  <dcterms:modified xsi:type="dcterms:W3CDTF">2025-10-15T10:08:24Z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DB5B8533A3584987BB2100094E9A85BE</vt:lpwstr>
  </property>
  <property fmtid="{D5CDD505-2E9C-101B-9397-08002B2CF9AE}" pid="4" name="KSOTemplateDocerSaveRecord">
    <vt:lpwstr>eyJoZGlkIjoiNzRjOTFlODQwYTRmM2ZlNzNmYTY0NGVkNDlhOGNhZjEiLCJ1c2VySWQiOiIyOTcyNDQyMjkifQ==</vt:lpwstr>
  </property>
</Properties>
</file>