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color w:val="auto"/>
          <w:sz w:val="32"/>
          <w:szCs w:val="32"/>
          <w:highlight w:val="none"/>
        </w:rPr>
      </w:pPr>
      <w:r>
        <w:rPr>
          <w:rFonts w:hint="eastAsia" w:ascii="华文中宋" w:hAnsi="华文中宋" w:eastAsia="华文中宋" w:cs="华文中宋"/>
          <w:b/>
          <w:bCs/>
          <w:color w:val="auto"/>
          <w:sz w:val="32"/>
          <w:szCs w:val="32"/>
          <w:highlight w:val="none"/>
        </w:rPr>
        <w:t>长春市商品房预售资金监督管理办法实施细则</w:t>
      </w:r>
    </w:p>
    <w:p>
      <w:pPr>
        <w:jc w:val="center"/>
        <w:rPr>
          <w:rFonts w:ascii="华文中宋" w:hAnsi="华文中宋" w:eastAsia="华文中宋" w:cs="华文中宋"/>
          <w:b/>
          <w:bCs/>
          <w:color w:val="auto"/>
          <w:sz w:val="32"/>
          <w:szCs w:val="32"/>
          <w:highlight w:val="none"/>
        </w:rPr>
      </w:pPr>
      <w:r>
        <w:rPr>
          <w:rFonts w:hint="eastAsia" w:ascii="华文中宋" w:hAnsi="华文中宋" w:eastAsia="华文中宋" w:cs="华文中宋"/>
          <w:b/>
          <w:bCs/>
          <w:color w:val="auto"/>
          <w:sz w:val="32"/>
          <w:szCs w:val="32"/>
          <w:highlight w:val="none"/>
        </w:rPr>
        <w:t>（征求</w:t>
      </w:r>
      <w:bookmarkStart w:id="0" w:name="_GoBack"/>
      <w:bookmarkEnd w:id="0"/>
      <w:r>
        <w:rPr>
          <w:rFonts w:hint="eastAsia" w:ascii="华文中宋" w:hAnsi="华文中宋" w:eastAsia="华文中宋" w:cs="华文中宋"/>
          <w:b/>
          <w:bCs/>
          <w:color w:val="auto"/>
          <w:sz w:val="32"/>
          <w:szCs w:val="32"/>
          <w:highlight w:val="none"/>
        </w:rPr>
        <w:t>意见稿）</w:t>
      </w:r>
    </w:p>
    <w:p>
      <w:pPr>
        <w:jc w:val="center"/>
        <w:rPr>
          <w:rFonts w:ascii="华文中宋" w:hAnsi="华文中宋" w:eastAsia="华文中宋" w:cs="华文中宋"/>
          <w:b/>
          <w:bCs/>
          <w:color w:val="auto"/>
          <w:sz w:val="32"/>
          <w:szCs w:val="32"/>
          <w:highlight w:val="none"/>
        </w:rPr>
      </w:pPr>
    </w:p>
    <w:p>
      <w:pPr>
        <w:jc w:val="center"/>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第一部分  总     则</w:t>
      </w:r>
    </w:p>
    <w:p>
      <w:pPr>
        <w:rPr>
          <w:rFonts w:ascii="黑体" w:hAnsi="黑体" w:eastAsia="黑体" w:cs="黑体"/>
          <w:b/>
          <w:bCs/>
          <w:color w:val="auto"/>
          <w:sz w:val="32"/>
          <w:szCs w:val="32"/>
          <w:highlight w:val="none"/>
        </w:rPr>
      </w:pPr>
    </w:p>
    <w:p>
      <w:pPr>
        <w:ind w:firstLine="6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 xml:space="preserve">第一条 </w:t>
      </w:r>
      <w:r>
        <w:rPr>
          <w:rFonts w:hint="eastAsia" w:ascii="仿宋" w:hAnsi="仿宋" w:eastAsia="仿宋" w:cs="仿宋"/>
          <w:color w:val="auto"/>
          <w:sz w:val="32"/>
          <w:szCs w:val="32"/>
          <w:highlight w:val="none"/>
        </w:rPr>
        <w:t>为进一步规范全市商品房预售资金监督管理，维护购房人合法权益，促进房地产市场健康有序发展，根据《中华人民共和国城市房地产管理法》《商品房预售管理办法》《住房和城乡建设部 人民银行 银保监会关于规范商品房预售资金监管的意见》《长春市商品房预售资金监督管理办法》，结合我市实际，制定本细则。</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 xml:space="preserve">第二条 </w:t>
      </w:r>
      <w:r>
        <w:rPr>
          <w:rFonts w:hint="eastAsia" w:ascii="仿宋" w:hAnsi="仿宋" w:eastAsia="仿宋" w:cs="仿宋"/>
          <w:color w:val="auto"/>
          <w:sz w:val="32"/>
          <w:szCs w:val="32"/>
          <w:highlight w:val="none"/>
        </w:rPr>
        <w:t>凡在本市城市规划区内国有土地上取得《商品房预售许可证》的商品房项目，其商品房预售资金的交存、支取、使用及监督管理工作，适用本细则。</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 xml:space="preserve">第三条 </w:t>
      </w:r>
      <w:r>
        <w:rPr>
          <w:rFonts w:hint="eastAsia" w:ascii="仿宋" w:hAnsi="仿宋" w:eastAsia="仿宋" w:cs="仿宋"/>
          <w:color w:val="auto"/>
          <w:sz w:val="32"/>
          <w:szCs w:val="32"/>
          <w:highlight w:val="none"/>
        </w:rPr>
        <w:t>本细则所称商品房预售资金，指房地产开发企业（以下简称开发企业）取得《商品房预售许可证》预售商品房时，购房人按合同约定支付的全部购房款，包括定金、首付款、购房贷款及其他形式的全部购房款。</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 xml:space="preserve">第四条 </w:t>
      </w:r>
      <w:r>
        <w:rPr>
          <w:rFonts w:hint="eastAsia" w:ascii="仿宋" w:hAnsi="仿宋" w:eastAsia="仿宋" w:cs="仿宋"/>
          <w:color w:val="auto"/>
          <w:sz w:val="32"/>
          <w:szCs w:val="32"/>
          <w:highlight w:val="none"/>
        </w:rPr>
        <w:t>市住房保障和房屋管理局（以下简称监管部门）负责指导和监督全市商品房预售资金监管工作。长春市城市建设开发管理服务中心（以下简称监管机构）受监管部门委托负责商品房预售资金监管工作的组织和实施</w:t>
      </w:r>
      <w:r>
        <w:rPr>
          <w:rFonts w:hint="eastAsia"/>
          <w:color w:val="auto"/>
          <w:sz w:val="32"/>
          <w:szCs w:val="32"/>
          <w:highlight w:val="none"/>
        </w:rPr>
        <w:t>。</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 xml:space="preserve">第五条 </w:t>
      </w:r>
      <w:r>
        <w:rPr>
          <w:rFonts w:hint="eastAsia" w:ascii="仿宋" w:hAnsi="仿宋" w:eastAsia="仿宋" w:cs="仿宋"/>
          <w:color w:val="auto"/>
          <w:sz w:val="32"/>
          <w:szCs w:val="32"/>
          <w:highlight w:val="none"/>
        </w:rPr>
        <w:t>商品房预售资金监督期限，自核发《商品房预售许可证》始，至项目监管楼幢办理不动产首次登记后止。</w:t>
      </w:r>
    </w:p>
    <w:p>
      <w:pPr>
        <w:rPr>
          <w:rFonts w:ascii="仿宋" w:hAnsi="仿宋" w:eastAsia="仿宋" w:cs="仿宋"/>
          <w:color w:val="auto"/>
          <w:sz w:val="32"/>
          <w:szCs w:val="32"/>
          <w:highlight w:val="none"/>
        </w:rPr>
      </w:pPr>
    </w:p>
    <w:p>
      <w:pPr>
        <w:numPr>
          <w:ilvl w:val="0"/>
          <w:numId w:val="1"/>
        </w:numPr>
        <w:jc w:val="center"/>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 xml:space="preserve"> 监管银行及监管账户的设立</w:t>
      </w:r>
    </w:p>
    <w:p>
      <w:pPr>
        <w:rPr>
          <w:rFonts w:ascii="黑体" w:hAnsi="黑体" w:eastAsia="黑体" w:cs="黑体"/>
          <w:b/>
          <w:bCs/>
          <w:color w:val="auto"/>
          <w:sz w:val="32"/>
          <w:szCs w:val="32"/>
          <w:highlight w:val="none"/>
        </w:rPr>
      </w:pP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 xml:space="preserve">第六条 </w:t>
      </w:r>
      <w:r>
        <w:rPr>
          <w:rFonts w:hint="eastAsia" w:ascii="仿宋" w:hAnsi="仿宋" w:eastAsia="仿宋" w:cs="仿宋"/>
          <w:color w:val="auto"/>
          <w:sz w:val="32"/>
          <w:szCs w:val="32"/>
          <w:highlight w:val="none"/>
        </w:rPr>
        <w:t>监管部门应当会同人民银行分支机构、银保监部门通过公开招标方式，综合商业银行资信状况、监管能力、服务水平等因素，确定能够承接商品房预售资金监管业务的商业银行（以下简称监管银行），并在监管部门网站上予以公示。监管机构与监管银行签订《长春市商品房预售资金监管金融服务框架协议》。监管银行应当通过商品房预售资金监管信息系统，及时报送预售资金入账、支取、余额等数据。</w:t>
      </w:r>
    </w:p>
    <w:p>
      <w:pPr>
        <w:ind w:firstLine="643" w:firstLineChars="200"/>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第七条</w:t>
      </w:r>
      <w:r>
        <w:rPr>
          <w:rFonts w:hint="eastAsia" w:ascii="仿宋" w:hAnsi="仿宋" w:eastAsia="仿宋" w:cs="仿宋"/>
          <w:color w:val="auto"/>
          <w:sz w:val="32"/>
          <w:szCs w:val="32"/>
          <w:highlight w:val="none"/>
        </w:rPr>
        <w:t xml:space="preserve"> 开发企业申请办理《商品房预售许可证》前，按照“一证一户”的原则，选择监管银行并开设商品房预售资金监管账户（以下简称监管账户）。监管账户名称按照</w:t>
      </w:r>
      <w:r>
        <w:rPr>
          <w:rFonts w:ascii="仿宋" w:hAnsi="仿宋" w:eastAsia="仿宋" w:cs="仿宋"/>
          <w:color w:val="auto"/>
          <w:spacing w:val="9"/>
          <w:sz w:val="32"/>
          <w:szCs w:val="32"/>
          <w:highlight w:val="none"/>
        </w:rPr>
        <w:t>“开户单位（全称）+项目名称+预售资金监管</w:t>
      </w:r>
      <w:r>
        <w:rPr>
          <w:rFonts w:hint="eastAsia" w:ascii="仿宋" w:hAnsi="仿宋" w:eastAsia="仿宋" w:cs="仿宋"/>
          <w:color w:val="auto"/>
          <w:spacing w:val="9"/>
          <w:sz w:val="32"/>
          <w:szCs w:val="32"/>
          <w:highlight w:val="none"/>
        </w:rPr>
        <w:t>账户</w:t>
      </w:r>
      <w:r>
        <w:rPr>
          <w:rFonts w:ascii="仿宋" w:hAnsi="仿宋" w:eastAsia="仿宋" w:cs="仿宋"/>
          <w:color w:val="auto"/>
          <w:spacing w:val="9"/>
          <w:sz w:val="32"/>
          <w:szCs w:val="32"/>
          <w:highlight w:val="none"/>
        </w:rPr>
        <w:t>”</w:t>
      </w:r>
      <w:r>
        <w:rPr>
          <w:rFonts w:hint="eastAsia" w:ascii="仿宋" w:hAnsi="仿宋" w:eastAsia="仿宋" w:cs="仿宋"/>
          <w:color w:val="auto"/>
          <w:spacing w:val="9"/>
          <w:sz w:val="32"/>
          <w:szCs w:val="32"/>
          <w:highlight w:val="none"/>
        </w:rPr>
        <w:t>命名方式进行开设。</w:t>
      </w:r>
      <w:r>
        <w:rPr>
          <w:rFonts w:hint="eastAsia" w:ascii="仿宋" w:hAnsi="仿宋" w:eastAsia="仿宋" w:cs="仿宋"/>
          <w:color w:val="auto"/>
          <w:sz w:val="32"/>
          <w:szCs w:val="32"/>
          <w:highlight w:val="none"/>
        </w:rPr>
        <w:t>监管机构、监管银行、开发企业三方签订《商品房预售资金监管协议》（以下简称监管协议）。监管协议明确预售资金收存和使用方式、监管额度、违约责任等内容。协议主要内容要在预售方案中予以明确，并通过附件方式在《商品房买卖合同》中予以体现。</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第八条</w:t>
      </w:r>
      <w:r>
        <w:rPr>
          <w:rFonts w:hint="eastAsia" w:ascii="仿宋" w:hAnsi="仿宋" w:eastAsia="仿宋" w:cs="仿宋"/>
          <w:color w:val="auto"/>
          <w:sz w:val="32"/>
          <w:szCs w:val="32"/>
          <w:highlight w:val="none"/>
        </w:rPr>
        <w:t xml:space="preserve"> 监管账户应当在《商品房预售许可证》《商品房买卖合同》上载明，并在商品房销售现场显著位置，以及监管部门门户网站进行公示。</w:t>
      </w:r>
    </w:p>
    <w:p>
      <w:pPr>
        <w:rPr>
          <w:rFonts w:ascii="黑体" w:hAnsi="黑体" w:eastAsia="黑体" w:cs="黑体"/>
          <w:b/>
          <w:bCs/>
          <w:color w:val="auto"/>
          <w:sz w:val="32"/>
          <w:szCs w:val="32"/>
          <w:highlight w:val="none"/>
        </w:rPr>
      </w:pPr>
    </w:p>
    <w:p>
      <w:pPr>
        <w:ind w:firstLine="2249" w:firstLineChars="700"/>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第三部分  预售资金监管额度</w:t>
      </w:r>
      <w:r>
        <w:rPr>
          <w:rFonts w:hint="eastAsia" w:ascii="黑体" w:hAnsi="黑体" w:eastAsia="黑体" w:cs="黑体"/>
          <w:b/>
          <w:bCs/>
          <w:color w:val="auto"/>
          <w:sz w:val="32"/>
          <w:szCs w:val="32"/>
          <w:highlight w:val="none"/>
        </w:rPr>
        <w:tab/>
      </w:r>
    </w:p>
    <w:p>
      <w:pPr>
        <w:tabs>
          <w:tab w:val="left" w:pos="6319"/>
        </w:tabs>
        <w:rPr>
          <w:rFonts w:ascii="仿宋" w:hAnsi="仿宋" w:eastAsia="仿宋" w:cs="仿宋"/>
          <w:b/>
          <w:bCs/>
          <w:color w:val="auto"/>
          <w:sz w:val="32"/>
          <w:szCs w:val="32"/>
          <w:highlight w:val="none"/>
        </w:rPr>
      </w:pPr>
    </w:p>
    <w:p>
      <w:pPr>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第九条</w:t>
      </w:r>
      <w:r>
        <w:rPr>
          <w:rFonts w:hint="eastAsia" w:ascii="仿宋" w:hAnsi="仿宋" w:eastAsia="仿宋" w:cs="仿宋"/>
          <w:color w:val="auto"/>
          <w:sz w:val="32"/>
          <w:szCs w:val="32"/>
          <w:highlight w:val="none"/>
        </w:rPr>
        <w:t xml:space="preserve"> </w:t>
      </w:r>
      <w:r>
        <w:rPr>
          <w:rFonts w:hint="eastAsia" w:ascii="仿宋" w:hAnsi="仿宋" w:eastAsia="仿宋" w:cs="仿宋"/>
          <w:b/>
          <w:color w:val="auto"/>
          <w:sz w:val="32"/>
          <w:szCs w:val="32"/>
          <w:highlight w:val="none"/>
        </w:rPr>
        <w:t xml:space="preserve"> </w:t>
      </w:r>
      <w:r>
        <w:rPr>
          <w:rFonts w:hint="eastAsia" w:ascii="仿宋" w:hAnsi="仿宋" w:eastAsia="仿宋" w:cs="仿宋"/>
          <w:bCs/>
          <w:color w:val="auto"/>
          <w:sz w:val="32"/>
          <w:szCs w:val="32"/>
          <w:highlight w:val="none"/>
        </w:rPr>
        <w:t>新设立</w:t>
      </w:r>
      <w:r>
        <w:rPr>
          <w:rFonts w:hint="eastAsia" w:ascii="仿宋" w:hAnsi="仿宋" w:eastAsia="仿宋" w:cs="仿宋"/>
          <w:color w:val="auto"/>
          <w:sz w:val="32"/>
          <w:szCs w:val="32"/>
          <w:highlight w:val="none"/>
        </w:rPr>
        <w:t>监管账户的初始监管额度为预售备案总金额的30%。已发布的《商品房预售许可证》销售面积发生变化时，《商品房预售许可证》的审批部门应书面告知监管机构，监管机构负责调整预售资金监管额度。</w:t>
      </w:r>
    </w:p>
    <w:p>
      <w:pPr>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第十条</w:t>
      </w:r>
      <w:r>
        <w:rPr>
          <w:rFonts w:hint="eastAsia" w:ascii="仿宋" w:hAnsi="仿宋" w:eastAsia="仿宋" w:cs="仿宋"/>
          <w:b/>
          <w:bCs/>
          <w:color w:val="auto"/>
          <w:sz w:val="32"/>
          <w:szCs w:val="32"/>
          <w:highlight w:val="none"/>
          <w:lang w:val="en-US" w:eastAsia="zh-CN"/>
        </w:rPr>
        <w:t xml:space="preserve">  </w:t>
      </w:r>
      <w:r>
        <w:rPr>
          <w:rFonts w:hint="eastAsia" w:ascii="仿宋" w:hAnsi="仿宋" w:eastAsia="仿宋" w:cs="仿宋"/>
          <w:color w:val="auto"/>
          <w:sz w:val="32"/>
          <w:szCs w:val="32"/>
          <w:highlight w:val="none"/>
        </w:rPr>
        <w:t>监管机构依据开发企业信用评分调整商品房预售资金监管额度，企业信用评分110分（含）以上的，监管额度下调10%；企业信用评分100分以下的，监管额度上调5%；企业信用评分90分以下的，监管额度上调10%。</w:t>
      </w:r>
    </w:p>
    <w:p>
      <w:pPr>
        <w:ind w:firstLine="643" w:firstLineChars="200"/>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第十</w:t>
      </w:r>
      <w:r>
        <w:rPr>
          <w:rFonts w:hint="eastAsia" w:ascii="仿宋" w:hAnsi="仿宋" w:eastAsia="仿宋" w:cs="仿宋"/>
          <w:b/>
          <w:color w:val="auto"/>
          <w:sz w:val="32"/>
          <w:szCs w:val="32"/>
          <w:highlight w:val="none"/>
          <w:lang w:val="en-US" w:eastAsia="zh-CN"/>
        </w:rPr>
        <w:t>一</w:t>
      </w:r>
      <w:r>
        <w:rPr>
          <w:rFonts w:hint="eastAsia" w:ascii="仿宋" w:hAnsi="仿宋" w:eastAsia="仿宋" w:cs="仿宋"/>
          <w:b/>
          <w:color w:val="auto"/>
          <w:sz w:val="32"/>
          <w:szCs w:val="32"/>
          <w:highlight w:val="none"/>
        </w:rPr>
        <w:t xml:space="preserve">条 </w:t>
      </w:r>
      <w:r>
        <w:rPr>
          <w:rFonts w:hint="eastAsia" w:ascii="仿宋" w:hAnsi="仿宋" w:eastAsia="仿宋" w:cs="仿宋"/>
          <w:color w:val="auto"/>
          <w:sz w:val="32"/>
          <w:szCs w:val="32"/>
          <w:highlight w:val="none"/>
        </w:rPr>
        <w:t>商品房预售资金监管额度按照“节点控制”的原则，降低监管额度。《商品房预售许可证》涉及楼栋全部达到以下工程进度后，监管额度做相应调整。</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商品房毛坯交付的：</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（一）建成层数达到地上总层数一半的，商品房预售资金监管额度调整为预售备案总金额的20%；</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w:t>
      </w:r>
      <w:r>
        <w:rPr>
          <w:rStyle w:val="10"/>
          <w:rFonts w:hint="eastAsia" w:ascii="仿宋" w:hAnsi="仿宋" w:eastAsia="仿宋" w:cs="仿宋"/>
          <w:b w:val="0"/>
          <w:bCs w:val="0"/>
          <w:i w:val="0"/>
          <w:iCs w:val="0"/>
          <w:caps w:val="0"/>
          <w:color w:val="000000"/>
          <w:spacing w:val="0"/>
          <w:sz w:val="32"/>
          <w:szCs w:val="32"/>
          <w:highlight w:val="none"/>
          <w:shd w:val="clear" w:color="auto" w:fill="FFFFFF"/>
          <w:lang w:val="en-US" w:eastAsia="zh-CN"/>
        </w:rPr>
        <w:t>主体封顶的，</w:t>
      </w:r>
      <w:r>
        <w:rPr>
          <w:rFonts w:hint="eastAsia" w:ascii="仿宋" w:hAnsi="仿宋" w:eastAsia="仿宋" w:cs="仿宋"/>
          <w:color w:val="auto"/>
          <w:sz w:val="32"/>
          <w:szCs w:val="32"/>
          <w:highlight w:val="none"/>
        </w:rPr>
        <w:t>商品房预售资金监管额度调整为预售备案总金额的15%；</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（三）主体砌筑、楼栋外墙装饰完毕的，商品房预售资金监管额度调整为预售备案总金额的1</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w:t>
      </w:r>
      <w:r>
        <w:rPr>
          <w:rStyle w:val="10"/>
          <w:rFonts w:hint="eastAsia" w:ascii="仿宋" w:hAnsi="仿宋" w:eastAsia="仿宋" w:cs="仿宋"/>
          <w:b w:val="0"/>
          <w:color w:val="auto"/>
          <w:sz w:val="32"/>
          <w:szCs w:val="32"/>
          <w:highlight w:val="none"/>
          <w:shd w:val="clear" w:color="auto" w:fill="FFFFFF"/>
        </w:rPr>
        <w:t>楼栋内公共区域装修、园区室内外管网配套、园区景观等建设完毕的，</w:t>
      </w:r>
      <w:r>
        <w:rPr>
          <w:rFonts w:hint="eastAsia" w:ascii="仿宋" w:hAnsi="仿宋" w:eastAsia="仿宋" w:cs="仿宋"/>
          <w:color w:val="auto"/>
          <w:sz w:val="32"/>
          <w:szCs w:val="32"/>
          <w:highlight w:val="none"/>
        </w:rPr>
        <w:t>商品房预售资金监管额度调整为预售备案总金额的</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（五）工程竣工验收备案的，商品房预售资金监管额度调整为预售备案总金额的3%；</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六</w:t>
      </w:r>
      <w:r>
        <w:rPr>
          <w:rFonts w:hint="eastAsia" w:ascii="仿宋" w:hAnsi="仿宋" w:eastAsia="仿宋" w:cs="仿宋"/>
          <w:color w:val="auto"/>
          <w:sz w:val="32"/>
          <w:szCs w:val="32"/>
          <w:highlight w:val="none"/>
        </w:rPr>
        <w:t>）完成不动产首次登记的，预售资金监管解除。</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商品房精装交付的：</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（一）建成层数达到地上总层数一半的，商品房预售资金监管额度调整为预售备案总金额的25%；</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w:t>
      </w:r>
      <w:r>
        <w:rPr>
          <w:rStyle w:val="10"/>
          <w:rFonts w:hint="eastAsia" w:ascii="仿宋" w:hAnsi="仿宋" w:eastAsia="仿宋" w:cs="仿宋"/>
          <w:b w:val="0"/>
          <w:bCs w:val="0"/>
          <w:i w:val="0"/>
          <w:iCs w:val="0"/>
          <w:caps w:val="0"/>
          <w:color w:val="000000"/>
          <w:spacing w:val="0"/>
          <w:sz w:val="32"/>
          <w:szCs w:val="32"/>
          <w:highlight w:val="none"/>
          <w:shd w:val="clear" w:color="auto" w:fill="FFFFFF"/>
          <w:lang w:val="en-US" w:eastAsia="zh-CN"/>
        </w:rPr>
        <w:t>主体封顶的，</w:t>
      </w:r>
      <w:r>
        <w:rPr>
          <w:rFonts w:hint="eastAsia" w:ascii="仿宋" w:hAnsi="仿宋" w:eastAsia="仿宋" w:cs="仿宋"/>
          <w:color w:val="auto"/>
          <w:sz w:val="32"/>
          <w:szCs w:val="32"/>
          <w:highlight w:val="none"/>
        </w:rPr>
        <w:t>商品房预售资金监管额度调整为预售备案总金额的</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（三）主体砌筑、楼栋外墙装饰完毕的，商品房预售资金监管额度调整为预售备案总金额的</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w:t>
      </w:r>
      <w:r>
        <w:rPr>
          <w:rStyle w:val="10"/>
          <w:rFonts w:hint="eastAsia" w:ascii="仿宋" w:hAnsi="仿宋" w:eastAsia="仿宋" w:cs="仿宋"/>
          <w:b w:val="0"/>
          <w:color w:val="auto"/>
          <w:sz w:val="32"/>
          <w:szCs w:val="32"/>
          <w:highlight w:val="none"/>
          <w:shd w:val="clear" w:color="auto" w:fill="FFFFFF"/>
        </w:rPr>
        <w:t>楼栋内公共区域装修、园区室内外管网配套、园区景观等建设完毕的，</w:t>
      </w:r>
      <w:r>
        <w:rPr>
          <w:rFonts w:hint="eastAsia" w:ascii="仿宋" w:hAnsi="仿宋" w:eastAsia="仿宋" w:cs="仿宋"/>
          <w:color w:val="auto"/>
          <w:sz w:val="32"/>
          <w:szCs w:val="32"/>
          <w:highlight w:val="none"/>
        </w:rPr>
        <w:t>商品房预售资金监管额度调整为预售备案总金额的</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（五）工程竣工验收备案的，商品房预售资金监管额度调整为预售备案总金额的3%；</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（六）完成不动产首次登记的，预售资金监管解除。</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商品房预售许可证销售范围内，同时包含毛坯交付和精装交付两种交付标准时，统一按照精装修交付监管额度执行。</w:t>
      </w:r>
      <w:r>
        <w:rPr>
          <w:rFonts w:hint="eastAsia" w:ascii="仿宋" w:hAnsi="仿宋" w:eastAsia="仿宋" w:cs="仿宋"/>
          <w:color w:val="auto"/>
          <w:sz w:val="32"/>
          <w:szCs w:val="32"/>
          <w:highlight w:val="none"/>
          <w:lang w:val="en-US" w:eastAsia="zh-CN"/>
        </w:rPr>
        <w:t xml:space="preserve"> </w:t>
      </w:r>
    </w:p>
    <w:p>
      <w:pPr>
        <w:ind w:firstLine="643" w:firstLineChars="200"/>
        <w:rPr>
          <w:rFonts w:ascii="仿宋" w:hAnsi="仿宋" w:eastAsia="仿宋" w:cs="仿宋"/>
          <w:bCs/>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 xml:space="preserve">条  </w:t>
      </w:r>
      <w:r>
        <w:rPr>
          <w:rFonts w:hint="eastAsia" w:ascii="仿宋" w:hAnsi="仿宋" w:eastAsia="仿宋" w:cs="仿宋"/>
          <w:bCs/>
          <w:color w:val="auto"/>
          <w:sz w:val="32"/>
          <w:szCs w:val="32"/>
          <w:highlight w:val="none"/>
        </w:rPr>
        <w:t>监管部门可结合我市实际，适时调整商品房预售资金初始监管额度，重新设定工程进度节点及各节点的监管额度。</w:t>
      </w:r>
    </w:p>
    <w:p>
      <w:pPr>
        <w:ind w:firstLine="640" w:firstLineChars="200"/>
        <w:rPr>
          <w:rFonts w:ascii="仿宋" w:hAnsi="仿宋" w:eastAsia="仿宋" w:cs="仿宋"/>
          <w:color w:val="auto"/>
          <w:sz w:val="32"/>
          <w:szCs w:val="32"/>
          <w:highlight w:val="none"/>
        </w:rPr>
      </w:pPr>
    </w:p>
    <w:p>
      <w:pPr>
        <w:jc w:val="center"/>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第四部分  预售资金的归集</w:t>
      </w:r>
    </w:p>
    <w:p>
      <w:pPr>
        <w:rPr>
          <w:rFonts w:ascii="黑体" w:hAnsi="黑体" w:eastAsia="黑体" w:cs="黑体"/>
          <w:b/>
          <w:bCs/>
          <w:color w:val="auto"/>
          <w:sz w:val="32"/>
          <w:szCs w:val="32"/>
          <w:highlight w:val="none"/>
        </w:rPr>
      </w:pP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商品房预售资金应当全部存入监管账户，开发企业不得以其他方式、其他账户收取商品房预售资金。</w:t>
      </w:r>
    </w:p>
    <w:p>
      <w:pPr>
        <w:numPr>
          <w:ilvl w:val="255"/>
          <w:numId w:val="0"/>
        </w:num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四</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购房人通过专用pos机、银行转账及监管机构认可的方式，将预售资金存入监管账户。购房人应当核对存款账户与《商品房预售许可证》上的监管账户是否一致。</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购房人申请购房按揭贷款的，贷款银行或公积金委托的贷款发放银行应在贷款合同中明确监管账户为贷款发放的唯一账户。</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预售资金归集按照“全额归集、部分沉淀”原则执行，即购房人支付的全部购房款全额归集至监管账户，监管机构可在每月月初将上一个月归集购房款的20%划拨给开发企业，由企业自行使用，不作为监管额度内资金。</w:t>
      </w:r>
    </w:p>
    <w:p>
      <w:pPr>
        <w:ind w:firstLine="640" w:firstLineChars="200"/>
        <w:rPr>
          <w:rFonts w:ascii="仿宋" w:hAnsi="仿宋" w:eastAsia="仿宋" w:cs="仿宋"/>
          <w:color w:val="auto"/>
          <w:sz w:val="32"/>
          <w:szCs w:val="32"/>
          <w:highlight w:val="none"/>
        </w:rPr>
      </w:pPr>
    </w:p>
    <w:p>
      <w:pPr>
        <w:ind w:left="210"/>
        <w:jc w:val="center"/>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第五部分 预售资金的使用</w:t>
      </w:r>
    </w:p>
    <w:p>
      <w:pPr>
        <w:ind w:firstLine="640" w:firstLineChars="200"/>
        <w:rPr>
          <w:rFonts w:ascii="仿宋" w:hAnsi="仿宋" w:eastAsia="仿宋" w:cs="仿宋"/>
          <w:color w:val="auto"/>
          <w:sz w:val="32"/>
          <w:szCs w:val="32"/>
          <w:highlight w:val="none"/>
        </w:rPr>
      </w:pPr>
    </w:p>
    <w:p>
      <w:pPr>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监管账户中监管额度内的资金应当专款专用，必须用于有关的工程建设，包括项目建设必需的建筑材料、设备和施工进度款等相关支出。不得用于支付任何借（贷）款本金和利息、营销费用及开发企业员工工资等费用</w:t>
      </w:r>
      <w:r>
        <w:rPr>
          <w:rFonts w:hint="eastAsia"/>
          <w:color w:val="auto"/>
          <w:sz w:val="32"/>
          <w:szCs w:val="32"/>
          <w:highlight w:val="none"/>
        </w:rPr>
        <w:t>。</w:t>
      </w:r>
      <w:r>
        <w:rPr>
          <w:rFonts w:hint="eastAsia" w:ascii="仿宋" w:hAnsi="仿宋" w:eastAsia="仿宋" w:cs="仿宋"/>
          <w:color w:val="auto"/>
          <w:sz w:val="32"/>
          <w:szCs w:val="32"/>
          <w:highlight w:val="none"/>
        </w:rPr>
        <w:t>监管额度内的资金，在项目完成房屋所有权首次登记前，监管银行不得擅自扣划；设立子公司的开发企业，集团公司不得抽调。监管账户中超出监管额度的资金，可由开发企业自行提取使用。</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第十</w:t>
      </w: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允许开发企业使用银行保函置换预售监管资金。监管账户内资金达到监管额度后，开发企业可申请使用</w:t>
      </w:r>
      <w:r>
        <w:rPr>
          <w:rFonts w:hint="eastAsia" w:ascii="仿宋" w:hAnsi="仿宋" w:eastAsia="仿宋" w:cs="仿宋"/>
          <w:color w:val="auto"/>
          <w:sz w:val="32"/>
          <w:szCs w:val="32"/>
          <w:highlight w:val="none"/>
          <w:lang w:val="en-US" w:eastAsia="zh-CN"/>
        </w:rPr>
        <w:t>银行</w:t>
      </w:r>
      <w:r>
        <w:rPr>
          <w:rFonts w:hint="eastAsia" w:ascii="仿宋" w:hAnsi="仿宋" w:eastAsia="仿宋" w:cs="仿宋"/>
          <w:color w:val="auto"/>
          <w:sz w:val="32"/>
          <w:szCs w:val="32"/>
          <w:highlight w:val="none"/>
        </w:rPr>
        <w:t>保函置换监管额度内资金，银行保函置换金额不得超过监管账户中确保项目竣工交付所需的资金额度的30%，置换后的监管资金不得低于监管账户中确保项目竣工交付所需的资金额度的70%。保函期限应当明确至完成房屋所有权首次登记止。</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val="en-US" w:eastAsia="zh-CN"/>
        </w:rPr>
        <w:t>十九</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监管部门可根据本市房地产市场发展情况，适时调整商品房预售监管资金使用政策。房地产市场低迷、项目建设资金紧张时，监管机构根据市政府或监管部门意见，允许开发企业提前使用商品房预售监管资金用于有关项目建设。监管机构依开发企业申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可统筹使用同一项目多个监管账户内资金，通过“点对点” 的方式将监管资金拨付给项目施工方或材料供应商等收款方。收款方不得以任何形式将资金向开发企业回流，否则承担相应法律责任。</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val="en-US" w:eastAsia="zh-CN"/>
        </w:rPr>
        <w:t>二十</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房地产项目存在逾期交房风险的，可统筹使用本项目全部预售资金监管账户内资金用于项目工程建设。存在逾期交房风险项目监管账户内资金不足时，可统筹使用开发企业及关联企业开发的其他项目监管账户内资金。</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第二十</w:t>
      </w:r>
      <w:r>
        <w:rPr>
          <w:rFonts w:hint="eastAsia" w:ascii="仿宋" w:hAnsi="仿宋" w:eastAsia="仿宋" w:cs="仿宋"/>
          <w:b/>
          <w:bCs/>
          <w:color w:val="auto"/>
          <w:sz w:val="32"/>
          <w:szCs w:val="32"/>
          <w:highlight w:val="none"/>
          <w:lang w:val="en-US" w:eastAsia="zh-CN"/>
        </w:rPr>
        <w:t>一</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房地产项目存在逾期交房风险的，属地政府可向监管部门申请将该项目预售监管资金全部拨付至属地专户，由属地政府统筹使用，确保项目交付。</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第二十</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条</w:t>
      </w:r>
      <w:r>
        <w:rPr>
          <w:rFonts w:hint="eastAsia"/>
          <w:color w:val="auto"/>
          <w:sz w:val="32"/>
          <w:szCs w:val="32"/>
          <w:highlight w:val="none"/>
        </w:rPr>
        <w:t xml:space="preserve"> </w:t>
      </w:r>
      <w:r>
        <w:rPr>
          <w:rFonts w:hint="eastAsia" w:ascii="仿宋" w:hAnsi="仿宋" w:eastAsia="仿宋" w:cs="仿宋"/>
          <w:color w:val="auto"/>
          <w:sz w:val="32"/>
          <w:szCs w:val="32"/>
          <w:highlight w:val="none"/>
        </w:rPr>
        <w:t>开发企业与购房人解除商品房买卖合同并已履行相关手续的，监管账户余额未超过预售资金监管额度时，开发企业可向管理机构申请从监管资金中退回相应购房款</w:t>
      </w:r>
      <w:r>
        <w:rPr>
          <w:rFonts w:hint="eastAsia"/>
          <w:color w:val="auto"/>
          <w:sz w:val="32"/>
          <w:szCs w:val="32"/>
          <w:highlight w:val="none"/>
        </w:rPr>
        <w:t>；</w:t>
      </w:r>
      <w:r>
        <w:rPr>
          <w:rFonts w:hint="eastAsia" w:ascii="仿宋" w:hAnsi="仿宋" w:eastAsia="仿宋" w:cs="仿宋"/>
          <w:color w:val="auto"/>
          <w:sz w:val="32"/>
          <w:szCs w:val="32"/>
          <w:highlight w:val="none"/>
        </w:rPr>
        <w:t>监管账户余额超过预售资金监管额度时，开发企业与购房人解除商品房预售合同的，由开发企业自行结算退款。</w:t>
      </w:r>
    </w:p>
    <w:p>
      <w:pPr>
        <w:ind w:firstLine="640" w:firstLineChars="200"/>
        <w:rPr>
          <w:rFonts w:ascii="仿宋" w:hAnsi="仿宋" w:eastAsia="仿宋" w:cs="仿宋"/>
          <w:color w:val="auto"/>
          <w:sz w:val="32"/>
          <w:szCs w:val="32"/>
          <w:highlight w:val="none"/>
        </w:rPr>
      </w:pPr>
    </w:p>
    <w:p>
      <w:pPr>
        <w:jc w:val="center"/>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第六部分 预售资金监管解除</w:t>
      </w:r>
    </w:p>
    <w:p>
      <w:pPr>
        <w:ind w:left="420" w:leftChars="200"/>
        <w:rPr>
          <w:rFonts w:ascii="仿宋" w:hAnsi="仿宋" w:eastAsia="仿宋" w:cs="仿宋"/>
          <w:b/>
          <w:bCs/>
          <w:color w:val="auto"/>
          <w:sz w:val="32"/>
          <w:szCs w:val="32"/>
          <w:highlight w:val="none"/>
        </w:rPr>
      </w:pP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第二十</w:t>
      </w:r>
      <w:r>
        <w:rPr>
          <w:rFonts w:hint="eastAsia" w:ascii="仿宋" w:hAnsi="仿宋" w:eastAsia="仿宋" w:cs="仿宋"/>
          <w:b/>
          <w:bCs/>
          <w:color w:val="auto"/>
          <w:sz w:val="32"/>
          <w:szCs w:val="32"/>
          <w:highlight w:val="none"/>
          <w:lang w:val="en-US" w:eastAsia="zh-CN"/>
        </w:rPr>
        <w:t>三</w:t>
      </w:r>
      <w:r>
        <w:rPr>
          <w:rFonts w:hint="eastAsia" w:ascii="仿宋" w:hAnsi="仿宋" w:eastAsia="仿宋" w:cs="仿宋"/>
          <w:b/>
          <w:bCs/>
          <w:color w:val="auto"/>
          <w:sz w:val="32"/>
          <w:szCs w:val="32"/>
          <w:highlight w:val="none"/>
        </w:rPr>
        <w:t>条</w:t>
      </w:r>
      <w:r>
        <w:rPr>
          <w:rFonts w:hint="eastAsia" w:ascii="仿宋" w:hAnsi="仿宋" w:eastAsia="仿宋" w:cs="仿宋"/>
          <w:color w:val="auto"/>
          <w:sz w:val="32"/>
          <w:szCs w:val="32"/>
          <w:highlight w:val="none"/>
        </w:rPr>
        <w:t xml:space="preserve"> 开发企业办理房屋所有权首次登记后，可向监管机构申请解除预售资金监管。</w:t>
      </w:r>
    </w:p>
    <w:p>
      <w:pPr>
        <w:ind w:firstLine="640" w:firstLineChars="200"/>
        <w:rPr>
          <w:rFonts w:ascii="仿宋" w:hAnsi="仿宋" w:eastAsia="仿宋" w:cs="仿宋"/>
          <w:color w:val="auto"/>
          <w:sz w:val="32"/>
          <w:szCs w:val="32"/>
          <w:highlight w:val="none"/>
        </w:rPr>
      </w:pPr>
    </w:p>
    <w:p>
      <w:pPr>
        <w:ind w:left="210"/>
        <w:jc w:val="center"/>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第七部分 监督管理</w:t>
      </w:r>
    </w:p>
    <w:p>
      <w:pPr>
        <w:rPr>
          <w:rFonts w:ascii="黑体" w:hAnsi="黑体" w:eastAsia="黑体" w:cs="黑体"/>
          <w:b/>
          <w:bCs/>
          <w:color w:val="auto"/>
          <w:sz w:val="32"/>
          <w:szCs w:val="32"/>
          <w:highlight w:val="none"/>
        </w:rPr>
      </w:pPr>
    </w:p>
    <w:p>
      <w:pPr>
        <w:ind w:firstLine="643" w:firstLineChars="200"/>
        <w:rPr>
          <w:rFonts w:ascii="仿宋" w:hAnsi="仿宋" w:eastAsia="仿宋" w:cs="仿宋"/>
          <w:bCs/>
          <w:color w:val="auto"/>
          <w:sz w:val="32"/>
          <w:szCs w:val="32"/>
          <w:highlight w:val="none"/>
        </w:rPr>
      </w:pPr>
      <w:r>
        <w:rPr>
          <w:rFonts w:hint="eastAsia" w:ascii="仿宋" w:hAnsi="仿宋" w:eastAsia="仿宋" w:cs="仿宋"/>
          <w:b/>
          <w:color w:val="auto"/>
          <w:sz w:val="32"/>
          <w:szCs w:val="32"/>
          <w:highlight w:val="none"/>
        </w:rPr>
        <w:t>第二十</w:t>
      </w:r>
      <w:r>
        <w:rPr>
          <w:rFonts w:hint="eastAsia" w:ascii="仿宋" w:hAnsi="仿宋" w:eastAsia="仿宋" w:cs="仿宋"/>
          <w:b/>
          <w:color w:val="auto"/>
          <w:sz w:val="32"/>
          <w:szCs w:val="32"/>
          <w:highlight w:val="none"/>
          <w:lang w:val="en-US" w:eastAsia="zh-CN"/>
        </w:rPr>
        <w:t>四</w:t>
      </w:r>
      <w:r>
        <w:rPr>
          <w:rFonts w:hint="eastAsia" w:ascii="仿宋" w:hAnsi="仿宋" w:eastAsia="仿宋" w:cs="仿宋"/>
          <w:b/>
          <w:color w:val="auto"/>
          <w:sz w:val="32"/>
          <w:szCs w:val="32"/>
          <w:highlight w:val="none"/>
        </w:rPr>
        <w:t xml:space="preserve">条 </w:t>
      </w:r>
      <w:r>
        <w:rPr>
          <w:rFonts w:hint="eastAsia" w:ascii="仿宋" w:hAnsi="仿宋" w:eastAsia="仿宋" w:cs="仿宋"/>
          <w:bCs/>
          <w:color w:val="auto"/>
          <w:sz w:val="32"/>
          <w:szCs w:val="32"/>
          <w:highlight w:val="none"/>
        </w:rPr>
        <w:t>监管银行要严格按照监管协议做好监管账户监控，定期与监管机构进行对账，发现开发企业存在违规挪用监管额度内资金问题的，应当停止拨付，并立即告知监管机构。</w:t>
      </w:r>
    </w:p>
    <w:p>
      <w:pPr>
        <w:ind w:firstLine="643" w:firstLineChars="200"/>
        <w:rPr>
          <w:rFonts w:ascii="仿宋" w:hAnsi="仿宋" w:eastAsia="仿宋" w:cs="仿宋"/>
          <w:bCs/>
          <w:color w:val="auto"/>
          <w:sz w:val="32"/>
          <w:szCs w:val="32"/>
          <w:highlight w:val="none"/>
        </w:rPr>
      </w:pPr>
      <w:r>
        <w:rPr>
          <w:rFonts w:hint="eastAsia" w:ascii="仿宋" w:hAnsi="仿宋" w:eastAsia="仿宋" w:cs="仿宋"/>
          <w:b/>
          <w:color w:val="auto"/>
          <w:sz w:val="32"/>
          <w:szCs w:val="32"/>
          <w:highlight w:val="none"/>
        </w:rPr>
        <w:t>第二十</w:t>
      </w:r>
      <w:r>
        <w:rPr>
          <w:rFonts w:hint="eastAsia" w:ascii="仿宋" w:hAnsi="仿宋" w:eastAsia="仿宋" w:cs="仿宋"/>
          <w:b/>
          <w:color w:val="auto"/>
          <w:sz w:val="32"/>
          <w:szCs w:val="32"/>
          <w:highlight w:val="none"/>
          <w:lang w:val="en-US" w:eastAsia="zh-CN"/>
        </w:rPr>
        <w:t>五</w:t>
      </w:r>
      <w:r>
        <w:rPr>
          <w:rFonts w:hint="eastAsia" w:ascii="仿宋" w:hAnsi="仿宋" w:eastAsia="仿宋" w:cs="仿宋"/>
          <w:b/>
          <w:color w:val="auto"/>
          <w:sz w:val="32"/>
          <w:szCs w:val="32"/>
          <w:highlight w:val="none"/>
        </w:rPr>
        <w:t xml:space="preserve">条 </w:t>
      </w:r>
      <w:r>
        <w:rPr>
          <w:rFonts w:hint="eastAsia" w:ascii="仿宋" w:hAnsi="仿宋" w:eastAsia="仿宋" w:cs="仿宋"/>
          <w:bCs/>
          <w:color w:val="auto"/>
          <w:sz w:val="32"/>
          <w:szCs w:val="32"/>
          <w:highlight w:val="none"/>
        </w:rPr>
        <w:t>监管银行未定期与监管机构对账、未及时拨付资金、未将贷款直接发放至监管账户的，或因监管银行信息系统建设不健全导致资金监管工作产生不良后果的，由监管机构要求监管银行限期整改，可暂停其预售资金监管业务。</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第二十</w:t>
      </w: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监管银行未经监管机构同意，擅自拨付监管额度内资金或因监管银行</w:t>
      </w:r>
      <w:r>
        <w:rPr>
          <w:rFonts w:hint="eastAsia" w:ascii="仿宋" w:hAnsi="仿宋" w:eastAsia="仿宋" w:cs="仿宋"/>
          <w:color w:val="auto"/>
          <w:sz w:val="32"/>
          <w:szCs w:val="32"/>
          <w:highlight w:val="none"/>
          <w:lang w:val="en-US" w:eastAsia="zh-CN"/>
        </w:rPr>
        <w:t>原因</w:t>
      </w:r>
      <w:r>
        <w:rPr>
          <w:rFonts w:hint="eastAsia" w:ascii="仿宋" w:hAnsi="仿宋" w:eastAsia="仿宋" w:cs="仿宋"/>
          <w:color w:val="auto"/>
          <w:sz w:val="32"/>
          <w:szCs w:val="32"/>
          <w:highlight w:val="none"/>
        </w:rPr>
        <w:t>导致</w:t>
      </w:r>
      <w:r>
        <w:rPr>
          <w:rFonts w:hint="eastAsia" w:ascii="仿宋" w:hAnsi="仿宋" w:eastAsia="仿宋" w:cs="仿宋"/>
          <w:color w:val="auto"/>
          <w:sz w:val="32"/>
          <w:szCs w:val="32"/>
          <w:highlight w:val="none"/>
          <w:lang w:val="en-US" w:eastAsia="zh-CN"/>
        </w:rPr>
        <w:t>监管</w:t>
      </w:r>
      <w:r>
        <w:rPr>
          <w:rFonts w:hint="eastAsia" w:ascii="仿宋" w:hAnsi="仿宋" w:eastAsia="仿宋" w:cs="仿宋"/>
          <w:color w:val="auto"/>
          <w:sz w:val="32"/>
          <w:szCs w:val="32"/>
          <w:highlight w:val="none"/>
        </w:rPr>
        <w:t>资金</w:t>
      </w:r>
      <w:r>
        <w:rPr>
          <w:rFonts w:hint="eastAsia" w:ascii="仿宋" w:hAnsi="仿宋" w:eastAsia="仿宋" w:cs="仿宋"/>
          <w:color w:val="auto"/>
          <w:sz w:val="32"/>
          <w:szCs w:val="32"/>
          <w:highlight w:val="none"/>
          <w:lang w:val="en-US" w:eastAsia="zh-CN"/>
        </w:rPr>
        <w:t>被挪用</w:t>
      </w:r>
      <w:r>
        <w:rPr>
          <w:rFonts w:hint="eastAsia" w:ascii="仿宋" w:hAnsi="仿宋" w:eastAsia="仿宋" w:cs="仿宋"/>
          <w:color w:val="auto"/>
          <w:sz w:val="32"/>
          <w:szCs w:val="32"/>
          <w:highlight w:val="none"/>
        </w:rPr>
        <w:t>的，应当负责追回资金，</w:t>
      </w:r>
      <w:r>
        <w:rPr>
          <w:rFonts w:hint="eastAsia" w:ascii="仿宋" w:hAnsi="仿宋" w:eastAsia="仿宋" w:cs="仿宋"/>
          <w:bCs/>
          <w:color w:val="auto"/>
          <w:sz w:val="32"/>
          <w:szCs w:val="32"/>
          <w:highlight w:val="none"/>
        </w:rPr>
        <w:t>挪用资金</w:t>
      </w:r>
      <w:r>
        <w:rPr>
          <w:rFonts w:hint="eastAsia" w:ascii="仿宋" w:hAnsi="仿宋" w:eastAsia="仿宋" w:cs="仿宋"/>
          <w:color w:val="auto"/>
          <w:sz w:val="32"/>
          <w:szCs w:val="32"/>
          <w:highlight w:val="none"/>
        </w:rPr>
        <w:t>无法追回的，违规银行应依法承担相应的赔偿责任。</w:t>
      </w:r>
      <w:r>
        <w:rPr>
          <w:rFonts w:hint="eastAsia" w:ascii="仿宋" w:hAnsi="仿宋" w:eastAsia="仿宋" w:cs="仿宋"/>
          <w:color w:val="auto"/>
          <w:sz w:val="32"/>
          <w:szCs w:val="32"/>
          <w:highlight w:val="none"/>
        </w:rPr>
        <w:t>监管银行</w:t>
      </w:r>
      <w:r>
        <w:rPr>
          <w:rFonts w:hint="eastAsia" w:ascii="仿宋" w:hAnsi="仿宋" w:eastAsia="仿宋" w:cs="仿宋"/>
          <w:color w:val="auto"/>
          <w:sz w:val="32"/>
          <w:szCs w:val="32"/>
          <w:highlight w:val="none"/>
          <w:lang w:val="en-US" w:eastAsia="zh-CN"/>
        </w:rPr>
        <w:t>存在</w:t>
      </w:r>
      <w:r>
        <w:rPr>
          <w:rFonts w:hint="eastAsia" w:ascii="仿宋" w:hAnsi="仿宋" w:eastAsia="仿宋" w:cs="仿宋"/>
          <w:color w:val="auto"/>
          <w:sz w:val="32"/>
          <w:szCs w:val="32"/>
          <w:highlight w:val="none"/>
        </w:rPr>
        <w:t>拒绝</w:t>
      </w:r>
      <w:r>
        <w:rPr>
          <w:rFonts w:hint="eastAsia" w:ascii="仿宋" w:hAnsi="仿宋" w:eastAsia="仿宋" w:cs="仿宋"/>
          <w:color w:val="auto"/>
          <w:sz w:val="32"/>
          <w:szCs w:val="32"/>
          <w:highlight w:val="none"/>
          <w:lang w:val="en-US" w:eastAsia="zh-CN"/>
        </w:rPr>
        <w:t>或</w:t>
      </w:r>
      <w:r>
        <w:rPr>
          <w:rFonts w:hint="eastAsia" w:ascii="仿宋" w:hAnsi="仿宋" w:eastAsia="仿宋" w:cs="仿宋"/>
          <w:color w:val="auto"/>
          <w:sz w:val="32"/>
          <w:szCs w:val="32"/>
          <w:highlight w:val="none"/>
        </w:rPr>
        <w:t>拖延执行监管机构资金划转指令</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未将购房人按揭贷款发放至监管账户</w:t>
      </w:r>
      <w:r>
        <w:rPr>
          <w:rFonts w:hint="eastAsia" w:ascii="仿宋" w:hAnsi="仿宋" w:eastAsia="仿宋" w:cs="仿宋"/>
          <w:color w:val="auto"/>
          <w:sz w:val="32"/>
          <w:szCs w:val="32"/>
          <w:highlight w:val="none"/>
          <w:lang w:val="en-US" w:eastAsia="zh-CN"/>
        </w:rPr>
        <w:t>及其他违规行为的</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监管机构可</w:t>
      </w:r>
      <w:r>
        <w:rPr>
          <w:rFonts w:hint="eastAsia" w:ascii="仿宋" w:hAnsi="仿宋" w:eastAsia="仿宋" w:cs="仿宋"/>
          <w:color w:val="auto"/>
          <w:sz w:val="32"/>
          <w:szCs w:val="32"/>
          <w:highlight w:val="none"/>
        </w:rPr>
        <w:t>暂停监管银行新增项目监管账户开立业务，责令限期整改。逾期未整改的，取消其监管银行资格，并通报银行监管部门。</w:t>
      </w:r>
    </w:p>
    <w:p>
      <w:pPr>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第二十</w:t>
      </w: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开发企业直接收存商品房预售资金、以收取其他款项为名变相逃避监管、未在销售现场公示监管银行及监管账户等信息、提供虚假材料申请使用监管资金的，由监管机构责令限期改正，可暂停该开发企业及关联企业在本市城市规划区内所有开发项目的商品房预售，将其违法违规行为予以公示，并记入开发企业信用评价体系</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开发企业违规将预售资金转至集团公司或挪作他用的，</w:t>
      </w:r>
      <w:r>
        <w:rPr>
          <w:rFonts w:hint="eastAsia" w:ascii="仿宋" w:hAnsi="仿宋" w:eastAsia="仿宋" w:cs="仿宋"/>
          <w:color w:val="auto"/>
          <w:sz w:val="32"/>
          <w:szCs w:val="32"/>
          <w:highlight w:val="none"/>
        </w:rPr>
        <w:t>开发企业法人、高级管理人员、财务等部门负责人承担相应法律责任。</w:t>
      </w:r>
    </w:p>
    <w:p>
      <w:pPr>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第二十</w:t>
      </w: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监管机构工作人员在商品房预售资金监督管理工作中滥用职权、徇私舞弊、玩忽职守的，依法给予处分；构成犯罪的，依法追究刑事责任。</w:t>
      </w:r>
    </w:p>
    <w:p>
      <w:pPr>
        <w:rPr>
          <w:rFonts w:ascii="仿宋" w:hAnsi="仿宋" w:eastAsia="仿宋" w:cs="仿宋"/>
          <w:color w:val="auto"/>
          <w:sz w:val="32"/>
          <w:szCs w:val="32"/>
          <w:highlight w:val="none"/>
        </w:rPr>
      </w:pPr>
    </w:p>
    <w:p>
      <w:pPr>
        <w:jc w:val="center"/>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第八部分 附 则</w:t>
      </w:r>
    </w:p>
    <w:p>
      <w:pPr>
        <w:rPr>
          <w:rFonts w:ascii="黑体" w:hAnsi="黑体" w:eastAsia="黑体" w:cs="黑体"/>
          <w:b/>
          <w:bCs/>
          <w:color w:val="auto"/>
          <w:sz w:val="32"/>
          <w:szCs w:val="32"/>
          <w:highlight w:val="none"/>
        </w:rPr>
      </w:pPr>
    </w:p>
    <w:p>
      <w:pPr>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val="en-US" w:eastAsia="zh-CN"/>
        </w:rPr>
        <w:t>二十九</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九台区、农安县、榆树市、德惠市、公主岭市可参照本细则执行。</w:t>
      </w:r>
    </w:p>
    <w:p>
      <w:pPr>
        <w:ind w:firstLine="643" w:firstLineChars="200"/>
        <w:rPr>
          <w:rFonts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val="en-US" w:eastAsia="zh-CN"/>
        </w:rPr>
        <w:t>三十</w:t>
      </w:r>
      <w:r>
        <w:rPr>
          <w:rFonts w:hint="eastAsia" w:ascii="仿宋" w:hAnsi="仿宋" w:eastAsia="仿宋" w:cs="仿宋"/>
          <w:b/>
          <w:bCs/>
          <w:color w:val="auto"/>
          <w:sz w:val="32"/>
          <w:szCs w:val="32"/>
          <w:highlight w:val="none"/>
        </w:rPr>
        <w:t xml:space="preserve">条 </w:t>
      </w:r>
      <w:r>
        <w:rPr>
          <w:rFonts w:hint="eastAsia" w:ascii="仿宋" w:hAnsi="仿宋" w:eastAsia="仿宋" w:cs="仿宋"/>
          <w:color w:val="auto"/>
          <w:sz w:val="32"/>
          <w:szCs w:val="32"/>
          <w:highlight w:val="none"/>
        </w:rPr>
        <w:t>本细则自2023年*月*日起施行。施行之后2019年《长春市商品房预售资金监管办法实施细则（暂行）》同时废止。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D7756C-FF86-4F88-8CDB-66D650C2D54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4E7E8E18-0829-4EDD-904D-E9BB49774E9F}"/>
  </w:font>
  <w:font w:name="仿宋">
    <w:panose1 w:val="02010609060101010101"/>
    <w:charset w:val="86"/>
    <w:family w:val="modern"/>
    <w:pitch w:val="default"/>
    <w:sig w:usb0="800002BF" w:usb1="38CF7CFA" w:usb2="00000016" w:usb3="00000000" w:csb0="00040001" w:csb1="00000000"/>
    <w:embedRegular r:id="rId3" w:fontKey="{C03EC756-5F95-45DE-A2AC-F051B4EA2027}"/>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fldChar w:fldCharType="begin"/>
                          </w:r>
                          <w:r>
                            <w:instrText xml:space="preserve"> PAGE  \* MERGEFORMAT </w:instrText>
                          </w:r>
                          <w:r>
                            <w:fldChar w:fldCharType="separate"/>
                          </w:r>
                          <w:r>
                            <w:t>8</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XGZeABAAC7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zgqW5or/ZI42Zp0+tx37TRHSnmf+0&#10;f2lp/j3nrIc3t7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GWVxmXgAQAAuwMAAA4AAAAA&#10;AAAAAQAgAAAAHgEAAGRycy9lMm9Eb2MueG1sUEsFBgAAAAAGAAYAWQEAAH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B0851"/>
    <w:multiLevelType w:val="singleLevel"/>
    <w:tmpl w:val="C14B0851"/>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2MGE3NTZmYTIyNGFmMDMzNmQxYWE5Y2U3YmQxZDMifQ=="/>
  </w:docVars>
  <w:rsids>
    <w:rsidRoot w:val="00EF295A"/>
    <w:rsid w:val="000067F0"/>
    <w:rsid w:val="00073A1A"/>
    <w:rsid w:val="000A22D7"/>
    <w:rsid w:val="000A5306"/>
    <w:rsid w:val="000A79DA"/>
    <w:rsid w:val="000B3E8F"/>
    <w:rsid w:val="000D3A1E"/>
    <w:rsid w:val="000D6746"/>
    <w:rsid w:val="000E1FFF"/>
    <w:rsid w:val="00150563"/>
    <w:rsid w:val="001642F7"/>
    <w:rsid w:val="00262044"/>
    <w:rsid w:val="00266923"/>
    <w:rsid w:val="00294932"/>
    <w:rsid w:val="002F47A6"/>
    <w:rsid w:val="003264FD"/>
    <w:rsid w:val="00330DFE"/>
    <w:rsid w:val="00345C54"/>
    <w:rsid w:val="00360AE5"/>
    <w:rsid w:val="003A6831"/>
    <w:rsid w:val="00403958"/>
    <w:rsid w:val="004107C2"/>
    <w:rsid w:val="00430FBF"/>
    <w:rsid w:val="00444315"/>
    <w:rsid w:val="004638B5"/>
    <w:rsid w:val="004876CF"/>
    <w:rsid w:val="00496C34"/>
    <w:rsid w:val="004A1396"/>
    <w:rsid w:val="004B4F9B"/>
    <w:rsid w:val="004D5738"/>
    <w:rsid w:val="005027E7"/>
    <w:rsid w:val="00511661"/>
    <w:rsid w:val="00530766"/>
    <w:rsid w:val="00554BC9"/>
    <w:rsid w:val="00567DCB"/>
    <w:rsid w:val="005843C3"/>
    <w:rsid w:val="005A45E1"/>
    <w:rsid w:val="005D382A"/>
    <w:rsid w:val="005F666F"/>
    <w:rsid w:val="00610F19"/>
    <w:rsid w:val="0062339A"/>
    <w:rsid w:val="00630C95"/>
    <w:rsid w:val="00653BDD"/>
    <w:rsid w:val="0067111B"/>
    <w:rsid w:val="00683DC2"/>
    <w:rsid w:val="006C5CDA"/>
    <w:rsid w:val="006D4676"/>
    <w:rsid w:val="0078188F"/>
    <w:rsid w:val="007A5E62"/>
    <w:rsid w:val="007B0348"/>
    <w:rsid w:val="007C0B0D"/>
    <w:rsid w:val="00850244"/>
    <w:rsid w:val="008526BC"/>
    <w:rsid w:val="00890C2E"/>
    <w:rsid w:val="008C7180"/>
    <w:rsid w:val="008E1171"/>
    <w:rsid w:val="008E6D43"/>
    <w:rsid w:val="008F2467"/>
    <w:rsid w:val="008F36B8"/>
    <w:rsid w:val="0093491D"/>
    <w:rsid w:val="00951B3F"/>
    <w:rsid w:val="00977B76"/>
    <w:rsid w:val="009B1D68"/>
    <w:rsid w:val="009C6CF8"/>
    <w:rsid w:val="00A11C99"/>
    <w:rsid w:val="00A44872"/>
    <w:rsid w:val="00A9050A"/>
    <w:rsid w:val="00A97DBC"/>
    <w:rsid w:val="00AB0447"/>
    <w:rsid w:val="00AD6082"/>
    <w:rsid w:val="00B02321"/>
    <w:rsid w:val="00B2543B"/>
    <w:rsid w:val="00B4218D"/>
    <w:rsid w:val="00B601BD"/>
    <w:rsid w:val="00B72940"/>
    <w:rsid w:val="00BC7151"/>
    <w:rsid w:val="00BF1E4E"/>
    <w:rsid w:val="00C117E2"/>
    <w:rsid w:val="00C465B1"/>
    <w:rsid w:val="00CC2685"/>
    <w:rsid w:val="00CF2EC6"/>
    <w:rsid w:val="00D06D0E"/>
    <w:rsid w:val="00D570DA"/>
    <w:rsid w:val="00DE4B37"/>
    <w:rsid w:val="00E0246E"/>
    <w:rsid w:val="00E127FF"/>
    <w:rsid w:val="00E13486"/>
    <w:rsid w:val="00E17E29"/>
    <w:rsid w:val="00E47530"/>
    <w:rsid w:val="00E73351"/>
    <w:rsid w:val="00EB4BB5"/>
    <w:rsid w:val="00EE3050"/>
    <w:rsid w:val="00EF295A"/>
    <w:rsid w:val="00FE2DF7"/>
    <w:rsid w:val="00FF2488"/>
    <w:rsid w:val="010E0F4F"/>
    <w:rsid w:val="01453A14"/>
    <w:rsid w:val="018A58A6"/>
    <w:rsid w:val="01AC5B67"/>
    <w:rsid w:val="01AF0A19"/>
    <w:rsid w:val="020967F0"/>
    <w:rsid w:val="022A759E"/>
    <w:rsid w:val="0240504A"/>
    <w:rsid w:val="0257357A"/>
    <w:rsid w:val="0257724D"/>
    <w:rsid w:val="029722A3"/>
    <w:rsid w:val="02A41640"/>
    <w:rsid w:val="02DE5ECF"/>
    <w:rsid w:val="03127926"/>
    <w:rsid w:val="03372BDE"/>
    <w:rsid w:val="03506A96"/>
    <w:rsid w:val="03525F75"/>
    <w:rsid w:val="03547F3F"/>
    <w:rsid w:val="03653975"/>
    <w:rsid w:val="03911ADA"/>
    <w:rsid w:val="03AC7D7B"/>
    <w:rsid w:val="03B74363"/>
    <w:rsid w:val="03EC0177"/>
    <w:rsid w:val="04460BEC"/>
    <w:rsid w:val="04BA4F43"/>
    <w:rsid w:val="04C16B8A"/>
    <w:rsid w:val="04CB5FDF"/>
    <w:rsid w:val="04DC643E"/>
    <w:rsid w:val="04E63A50"/>
    <w:rsid w:val="050E2036"/>
    <w:rsid w:val="05242ED7"/>
    <w:rsid w:val="052B2F21"/>
    <w:rsid w:val="056120E0"/>
    <w:rsid w:val="05FB76EA"/>
    <w:rsid w:val="0624009C"/>
    <w:rsid w:val="06436049"/>
    <w:rsid w:val="06B036DE"/>
    <w:rsid w:val="06E326BF"/>
    <w:rsid w:val="07016DB0"/>
    <w:rsid w:val="071B1977"/>
    <w:rsid w:val="079D745B"/>
    <w:rsid w:val="07CC09EB"/>
    <w:rsid w:val="07CD400E"/>
    <w:rsid w:val="07D1018B"/>
    <w:rsid w:val="07F7533D"/>
    <w:rsid w:val="07FC06D0"/>
    <w:rsid w:val="08A778DA"/>
    <w:rsid w:val="08FF019C"/>
    <w:rsid w:val="09045F63"/>
    <w:rsid w:val="091E4474"/>
    <w:rsid w:val="092957F3"/>
    <w:rsid w:val="092C3FFD"/>
    <w:rsid w:val="094C3466"/>
    <w:rsid w:val="09502F56"/>
    <w:rsid w:val="098B21E0"/>
    <w:rsid w:val="09AE77B8"/>
    <w:rsid w:val="0A4C69F3"/>
    <w:rsid w:val="0AB6328D"/>
    <w:rsid w:val="0AF84616"/>
    <w:rsid w:val="0B3B7059"/>
    <w:rsid w:val="0B415BEC"/>
    <w:rsid w:val="0B5A630E"/>
    <w:rsid w:val="0B691094"/>
    <w:rsid w:val="0BC83400"/>
    <w:rsid w:val="0BDE2A9B"/>
    <w:rsid w:val="0C2012B1"/>
    <w:rsid w:val="0C2D57D1"/>
    <w:rsid w:val="0C6F7B97"/>
    <w:rsid w:val="0C964C84"/>
    <w:rsid w:val="0D007573"/>
    <w:rsid w:val="0DAF1561"/>
    <w:rsid w:val="0DE10621"/>
    <w:rsid w:val="0DEB4410"/>
    <w:rsid w:val="0DEE2D3E"/>
    <w:rsid w:val="0E8A6F0A"/>
    <w:rsid w:val="0EA76787"/>
    <w:rsid w:val="0EB92B44"/>
    <w:rsid w:val="0EDA7E38"/>
    <w:rsid w:val="0F144A26"/>
    <w:rsid w:val="0F292E2C"/>
    <w:rsid w:val="0F334561"/>
    <w:rsid w:val="0F403EBA"/>
    <w:rsid w:val="0F56503F"/>
    <w:rsid w:val="0F5D0B31"/>
    <w:rsid w:val="0F821A73"/>
    <w:rsid w:val="0F8676D2"/>
    <w:rsid w:val="0F884022"/>
    <w:rsid w:val="0F8B3EED"/>
    <w:rsid w:val="0F8C6CB2"/>
    <w:rsid w:val="0F953DB9"/>
    <w:rsid w:val="0FAB0EE6"/>
    <w:rsid w:val="0FBA01EE"/>
    <w:rsid w:val="0FC012EE"/>
    <w:rsid w:val="0FC250F2"/>
    <w:rsid w:val="0FE833AB"/>
    <w:rsid w:val="10D159BA"/>
    <w:rsid w:val="10E32902"/>
    <w:rsid w:val="10EF574B"/>
    <w:rsid w:val="11021150"/>
    <w:rsid w:val="11916802"/>
    <w:rsid w:val="11A55C1D"/>
    <w:rsid w:val="11E21F74"/>
    <w:rsid w:val="11E93033"/>
    <w:rsid w:val="12130A05"/>
    <w:rsid w:val="12365CA8"/>
    <w:rsid w:val="12906AB9"/>
    <w:rsid w:val="12C111B4"/>
    <w:rsid w:val="130C0735"/>
    <w:rsid w:val="131075E5"/>
    <w:rsid w:val="133B3709"/>
    <w:rsid w:val="13672C4C"/>
    <w:rsid w:val="138F7DD0"/>
    <w:rsid w:val="13BA3DEE"/>
    <w:rsid w:val="13CB3CC7"/>
    <w:rsid w:val="14236060"/>
    <w:rsid w:val="14272692"/>
    <w:rsid w:val="14357918"/>
    <w:rsid w:val="149A4376"/>
    <w:rsid w:val="14B75966"/>
    <w:rsid w:val="14B7657F"/>
    <w:rsid w:val="15330C18"/>
    <w:rsid w:val="155408F6"/>
    <w:rsid w:val="1576442A"/>
    <w:rsid w:val="157E6CE5"/>
    <w:rsid w:val="15D124F9"/>
    <w:rsid w:val="15D53161"/>
    <w:rsid w:val="16331C36"/>
    <w:rsid w:val="16A4630E"/>
    <w:rsid w:val="16D52329"/>
    <w:rsid w:val="174762AE"/>
    <w:rsid w:val="17583281"/>
    <w:rsid w:val="177A2E7F"/>
    <w:rsid w:val="18153CE9"/>
    <w:rsid w:val="182F0BA9"/>
    <w:rsid w:val="1849477F"/>
    <w:rsid w:val="18AA256F"/>
    <w:rsid w:val="18B876FB"/>
    <w:rsid w:val="18BC5F12"/>
    <w:rsid w:val="19371676"/>
    <w:rsid w:val="194A6D8C"/>
    <w:rsid w:val="19616ABA"/>
    <w:rsid w:val="1975073C"/>
    <w:rsid w:val="198D6A7D"/>
    <w:rsid w:val="19993CBF"/>
    <w:rsid w:val="19C86B39"/>
    <w:rsid w:val="19CD414F"/>
    <w:rsid w:val="1A141D7E"/>
    <w:rsid w:val="1A14242F"/>
    <w:rsid w:val="1A376928"/>
    <w:rsid w:val="1A7F18ED"/>
    <w:rsid w:val="1ACC1D2D"/>
    <w:rsid w:val="1AD12474"/>
    <w:rsid w:val="1B554BA5"/>
    <w:rsid w:val="1BB3427C"/>
    <w:rsid w:val="1BD63C31"/>
    <w:rsid w:val="1BF61E83"/>
    <w:rsid w:val="1C316C17"/>
    <w:rsid w:val="1C7756BA"/>
    <w:rsid w:val="1CAA5075"/>
    <w:rsid w:val="1D083E1C"/>
    <w:rsid w:val="1D1F27D3"/>
    <w:rsid w:val="1DA623C8"/>
    <w:rsid w:val="1DCC309C"/>
    <w:rsid w:val="1E094562"/>
    <w:rsid w:val="1E236A34"/>
    <w:rsid w:val="1E2C22DA"/>
    <w:rsid w:val="1E687CC6"/>
    <w:rsid w:val="1E7B6870"/>
    <w:rsid w:val="1EBC0E1A"/>
    <w:rsid w:val="1ED85A70"/>
    <w:rsid w:val="1EDD6BE3"/>
    <w:rsid w:val="1EFA6F79"/>
    <w:rsid w:val="1F394761"/>
    <w:rsid w:val="1F491442"/>
    <w:rsid w:val="1F5A46D7"/>
    <w:rsid w:val="1F7D2BB9"/>
    <w:rsid w:val="1F8F4381"/>
    <w:rsid w:val="1F9E2816"/>
    <w:rsid w:val="1FB262C1"/>
    <w:rsid w:val="1FF67686"/>
    <w:rsid w:val="20097670"/>
    <w:rsid w:val="20250841"/>
    <w:rsid w:val="203E7B55"/>
    <w:rsid w:val="20C90C38"/>
    <w:rsid w:val="213D7C44"/>
    <w:rsid w:val="21510620"/>
    <w:rsid w:val="216C24A0"/>
    <w:rsid w:val="218E6F91"/>
    <w:rsid w:val="21BA76AF"/>
    <w:rsid w:val="21D128D5"/>
    <w:rsid w:val="21FF3314"/>
    <w:rsid w:val="22056B7C"/>
    <w:rsid w:val="22415BAC"/>
    <w:rsid w:val="228253FC"/>
    <w:rsid w:val="22837BD7"/>
    <w:rsid w:val="22A56367"/>
    <w:rsid w:val="22B23C5B"/>
    <w:rsid w:val="22D078AB"/>
    <w:rsid w:val="22F1619D"/>
    <w:rsid w:val="23496F3C"/>
    <w:rsid w:val="237613B4"/>
    <w:rsid w:val="23927814"/>
    <w:rsid w:val="239A09B9"/>
    <w:rsid w:val="2414433B"/>
    <w:rsid w:val="245B6F27"/>
    <w:rsid w:val="255D6CCF"/>
    <w:rsid w:val="256637E2"/>
    <w:rsid w:val="257F27A2"/>
    <w:rsid w:val="25983863"/>
    <w:rsid w:val="25DF12E0"/>
    <w:rsid w:val="25F3775D"/>
    <w:rsid w:val="260113A0"/>
    <w:rsid w:val="26834424"/>
    <w:rsid w:val="26881B2A"/>
    <w:rsid w:val="26915956"/>
    <w:rsid w:val="26A44EFA"/>
    <w:rsid w:val="26DE740C"/>
    <w:rsid w:val="26F96584"/>
    <w:rsid w:val="27075144"/>
    <w:rsid w:val="270E7E69"/>
    <w:rsid w:val="272B6093"/>
    <w:rsid w:val="275332AC"/>
    <w:rsid w:val="27AC1DE2"/>
    <w:rsid w:val="27E2170E"/>
    <w:rsid w:val="28B21AC7"/>
    <w:rsid w:val="28C5461D"/>
    <w:rsid w:val="28DC43AF"/>
    <w:rsid w:val="290D629E"/>
    <w:rsid w:val="293E2974"/>
    <w:rsid w:val="29413B44"/>
    <w:rsid w:val="294202A1"/>
    <w:rsid w:val="294C2CDF"/>
    <w:rsid w:val="29832C3F"/>
    <w:rsid w:val="2989192E"/>
    <w:rsid w:val="29937C51"/>
    <w:rsid w:val="29BE778B"/>
    <w:rsid w:val="29F85218"/>
    <w:rsid w:val="2A8E16D9"/>
    <w:rsid w:val="2AA160B8"/>
    <w:rsid w:val="2AA215FF"/>
    <w:rsid w:val="2AD4533E"/>
    <w:rsid w:val="2AFC7684"/>
    <w:rsid w:val="2B656D43"/>
    <w:rsid w:val="2B762899"/>
    <w:rsid w:val="2BB32A08"/>
    <w:rsid w:val="2BBB465D"/>
    <w:rsid w:val="2BC409DF"/>
    <w:rsid w:val="2C567FD4"/>
    <w:rsid w:val="2C7478E4"/>
    <w:rsid w:val="2CBA56EC"/>
    <w:rsid w:val="2D08666B"/>
    <w:rsid w:val="2D256324"/>
    <w:rsid w:val="2D2E16B4"/>
    <w:rsid w:val="2DB142AE"/>
    <w:rsid w:val="2DD613CD"/>
    <w:rsid w:val="2DE825EC"/>
    <w:rsid w:val="2DF857E7"/>
    <w:rsid w:val="2E026666"/>
    <w:rsid w:val="2EA9431C"/>
    <w:rsid w:val="2EB55AFF"/>
    <w:rsid w:val="2EE25E11"/>
    <w:rsid w:val="2F4B7B98"/>
    <w:rsid w:val="2F7A696B"/>
    <w:rsid w:val="2F931E2F"/>
    <w:rsid w:val="2FB82068"/>
    <w:rsid w:val="2FC35444"/>
    <w:rsid w:val="301D32E3"/>
    <w:rsid w:val="308E5F8F"/>
    <w:rsid w:val="30AA08EF"/>
    <w:rsid w:val="30D53BBD"/>
    <w:rsid w:val="30E87674"/>
    <w:rsid w:val="31115D86"/>
    <w:rsid w:val="315513B9"/>
    <w:rsid w:val="317B29B7"/>
    <w:rsid w:val="319A7E57"/>
    <w:rsid w:val="31B41A25"/>
    <w:rsid w:val="31DD71FA"/>
    <w:rsid w:val="3216623C"/>
    <w:rsid w:val="32451C4A"/>
    <w:rsid w:val="330D3AE3"/>
    <w:rsid w:val="331E3EDB"/>
    <w:rsid w:val="335C2374"/>
    <w:rsid w:val="336456CD"/>
    <w:rsid w:val="339C2F02"/>
    <w:rsid w:val="33CA3782"/>
    <w:rsid w:val="33DF3D6E"/>
    <w:rsid w:val="33FC0529"/>
    <w:rsid w:val="341B2716"/>
    <w:rsid w:val="348370C2"/>
    <w:rsid w:val="349F69BC"/>
    <w:rsid w:val="34C16FCF"/>
    <w:rsid w:val="34D119FE"/>
    <w:rsid w:val="35311149"/>
    <w:rsid w:val="35510245"/>
    <w:rsid w:val="355D286C"/>
    <w:rsid w:val="35814F73"/>
    <w:rsid w:val="359164D2"/>
    <w:rsid w:val="361B5455"/>
    <w:rsid w:val="369D2487"/>
    <w:rsid w:val="36BD5820"/>
    <w:rsid w:val="36E11F14"/>
    <w:rsid w:val="36FB5A5A"/>
    <w:rsid w:val="371F5B92"/>
    <w:rsid w:val="372B55E0"/>
    <w:rsid w:val="380226F2"/>
    <w:rsid w:val="38075A45"/>
    <w:rsid w:val="388A3EF0"/>
    <w:rsid w:val="390A63CE"/>
    <w:rsid w:val="39247B4C"/>
    <w:rsid w:val="39585775"/>
    <w:rsid w:val="3A10315E"/>
    <w:rsid w:val="3A313AE0"/>
    <w:rsid w:val="3A3E4582"/>
    <w:rsid w:val="3A647D60"/>
    <w:rsid w:val="3AD249E7"/>
    <w:rsid w:val="3AEC7BAC"/>
    <w:rsid w:val="3AF410E4"/>
    <w:rsid w:val="3AF45588"/>
    <w:rsid w:val="3B111C96"/>
    <w:rsid w:val="3B2C6AD0"/>
    <w:rsid w:val="3B9D50C0"/>
    <w:rsid w:val="3BD00198"/>
    <w:rsid w:val="3BF7618D"/>
    <w:rsid w:val="3C131233"/>
    <w:rsid w:val="3C7C5C4A"/>
    <w:rsid w:val="3CF61082"/>
    <w:rsid w:val="3CF73F06"/>
    <w:rsid w:val="3D1723B5"/>
    <w:rsid w:val="3D2A564E"/>
    <w:rsid w:val="3D421C5C"/>
    <w:rsid w:val="3D960B78"/>
    <w:rsid w:val="3DC54DB5"/>
    <w:rsid w:val="3E3A7A9A"/>
    <w:rsid w:val="3E4573F0"/>
    <w:rsid w:val="3E582D6A"/>
    <w:rsid w:val="3EEA2F2A"/>
    <w:rsid w:val="3F1B484E"/>
    <w:rsid w:val="3F593C0C"/>
    <w:rsid w:val="3FFD4EDF"/>
    <w:rsid w:val="404B17A6"/>
    <w:rsid w:val="404B79F8"/>
    <w:rsid w:val="406D1057"/>
    <w:rsid w:val="408E0151"/>
    <w:rsid w:val="413B1602"/>
    <w:rsid w:val="415F7893"/>
    <w:rsid w:val="416F1491"/>
    <w:rsid w:val="418C02C8"/>
    <w:rsid w:val="419E3E69"/>
    <w:rsid w:val="41A05B22"/>
    <w:rsid w:val="41B31CF9"/>
    <w:rsid w:val="4271251E"/>
    <w:rsid w:val="42A17DA3"/>
    <w:rsid w:val="42B31885"/>
    <w:rsid w:val="42C66A70"/>
    <w:rsid w:val="42DE5A1A"/>
    <w:rsid w:val="43255FB2"/>
    <w:rsid w:val="432A4355"/>
    <w:rsid w:val="43607C5E"/>
    <w:rsid w:val="436E2612"/>
    <w:rsid w:val="43A57800"/>
    <w:rsid w:val="44260EAE"/>
    <w:rsid w:val="444E0CFB"/>
    <w:rsid w:val="44B95392"/>
    <w:rsid w:val="45230F44"/>
    <w:rsid w:val="4552294B"/>
    <w:rsid w:val="4561381A"/>
    <w:rsid w:val="45D6733E"/>
    <w:rsid w:val="460C5E7C"/>
    <w:rsid w:val="46195EA3"/>
    <w:rsid w:val="466435C2"/>
    <w:rsid w:val="469F2068"/>
    <w:rsid w:val="469F791E"/>
    <w:rsid w:val="46C064E8"/>
    <w:rsid w:val="471054F8"/>
    <w:rsid w:val="47150D60"/>
    <w:rsid w:val="47DC3A3F"/>
    <w:rsid w:val="47E0136E"/>
    <w:rsid w:val="48043481"/>
    <w:rsid w:val="48082673"/>
    <w:rsid w:val="48705BC4"/>
    <w:rsid w:val="48C200B9"/>
    <w:rsid w:val="49695393"/>
    <w:rsid w:val="49A22D21"/>
    <w:rsid w:val="49C64593"/>
    <w:rsid w:val="49EB7D8F"/>
    <w:rsid w:val="4A0C520E"/>
    <w:rsid w:val="4A2C4B21"/>
    <w:rsid w:val="4A7D039B"/>
    <w:rsid w:val="4AAA4A88"/>
    <w:rsid w:val="4AC12800"/>
    <w:rsid w:val="4B920F18"/>
    <w:rsid w:val="4BBE4A9B"/>
    <w:rsid w:val="4BD12827"/>
    <w:rsid w:val="4BEB257E"/>
    <w:rsid w:val="4BF4406F"/>
    <w:rsid w:val="4C1635B0"/>
    <w:rsid w:val="4C6F0F12"/>
    <w:rsid w:val="4CBD2879"/>
    <w:rsid w:val="4CBD3A2C"/>
    <w:rsid w:val="4CF136D5"/>
    <w:rsid w:val="4D024360"/>
    <w:rsid w:val="4DE60D60"/>
    <w:rsid w:val="4E4560E3"/>
    <w:rsid w:val="4E6C79C0"/>
    <w:rsid w:val="4EA66308"/>
    <w:rsid w:val="4EC07803"/>
    <w:rsid w:val="4EF02474"/>
    <w:rsid w:val="4F0211BC"/>
    <w:rsid w:val="4F247EF5"/>
    <w:rsid w:val="4F2F026A"/>
    <w:rsid w:val="4F473AB8"/>
    <w:rsid w:val="4F552381"/>
    <w:rsid w:val="4F625F52"/>
    <w:rsid w:val="4FBA28C0"/>
    <w:rsid w:val="50067498"/>
    <w:rsid w:val="5034137F"/>
    <w:rsid w:val="503413FE"/>
    <w:rsid w:val="503503B1"/>
    <w:rsid w:val="50615016"/>
    <w:rsid w:val="506B7C43"/>
    <w:rsid w:val="50855E66"/>
    <w:rsid w:val="50B67388"/>
    <w:rsid w:val="50C25AB5"/>
    <w:rsid w:val="510A120A"/>
    <w:rsid w:val="51134177"/>
    <w:rsid w:val="511B3417"/>
    <w:rsid w:val="514B3CFC"/>
    <w:rsid w:val="51F577C4"/>
    <w:rsid w:val="520453BF"/>
    <w:rsid w:val="52260D85"/>
    <w:rsid w:val="52630BD1"/>
    <w:rsid w:val="52AA367A"/>
    <w:rsid w:val="530967BB"/>
    <w:rsid w:val="53272BFA"/>
    <w:rsid w:val="534A1D91"/>
    <w:rsid w:val="53BF3DA8"/>
    <w:rsid w:val="54091C4C"/>
    <w:rsid w:val="545244C5"/>
    <w:rsid w:val="54762179"/>
    <w:rsid w:val="54847DCB"/>
    <w:rsid w:val="55000B16"/>
    <w:rsid w:val="55013228"/>
    <w:rsid w:val="5507618C"/>
    <w:rsid w:val="55503643"/>
    <w:rsid w:val="55823A64"/>
    <w:rsid w:val="55A0213D"/>
    <w:rsid w:val="56113DDC"/>
    <w:rsid w:val="564167D6"/>
    <w:rsid w:val="566A35BB"/>
    <w:rsid w:val="5692194A"/>
    <w:rsid w:val="56935B78"/>
    <w:rsid w:val="56B41C60"/>
    <w:rsid w:val="57261B11"/>
    <w:rsid w:val="57CF2865"/>
    <w:rsid w:val="57DF6229"/>
    <w:rsid w:val="585A12A2"/>
    <w:rsid w:val="58687C27"/>
    <w:rsid w:val="586B748F"/>
    <w:rsid w:val="587A4EC7"/>
    <w:rsid w:val="589F7B85"/>
    <w:rsid w:val="58A14202"/>
    <w:rsid w:val="596F0FF7"/>
    <w:rsid w:val="599478FF"/>
    <w:rsid w:val="59A003B7"/>
    <w:rsid w:val="59F9006D"/>
    <w:rsid w:val="5A6F20DD"/>
    <w:rsid w:val="5ABF3065"/>
    <w:rsid w:val="5B1567CF"/>
    <w:rsid w:val="5B336475"/>
    <w:rsid w:val="5B582334"/>
    <w:rsid w:val="5BAB5397"/>
    <w:rsid w:val="5BF63069"/>
    <w:rsid w:val="5C2C0E00"/>
    <w:rsid w:val="5CA371EF"/>
    <w:rsid w:val="5D213B63"/>
    <w:rsid w:val="5D740137"/>
    <w:rsid w:val="5D810AA5"/>
    <w:rsid w:val="5D8D24E7"/>
    <w:rsid w:val="5DD706C5"/>
    <w:rsid w:val="5DEF3C61"/>
    <w:rsid w:val="5E2615ED"/>
    <w:rsid w:val="5E4D2736"/>
    <w:rsid w:val="5E604C82"/>
    <w:rsid w:val="5E622685"/>
    <w:rsid w:val="5E6E2DD8"/>
    <w:rsid w:val="5E8845A1"/>
    <w:rsid w:val="5EEE5CC7"/>
    <w:rsid w:val="5F330789"/>
    <w:rsid w:val="5F3850BD"/>
    <w:rsid w:val="5F492CF4"/>
    <w:rsid w:val="5F796A4F"/>
    <w:rsid w:val="5F812F84"/>
    <w:rsid w:val="5F853D4B"/>
    <w:rsid w:val="5FBA3DFB"/>
    <w:rsid w:val="5FE41E12"/>
    <w:rsid w:val="6031230F"/>
    <w:rsid w:val="603D0A2D"/>
    <w:rsid w:val="604858AA"/>
    <w:rsid w:val="6082700E"/>
    <w:rsid w:val="60F0345D"/>
    <w:rsid w:val="61044AD1"/>
    <w:rsid w:val="617526CF"/>
    <w:rsid w:val="618446C0"/>
    <w:rsid w:val="618E3791"/>
    <w:rsid w:val="619B08D8"/>
    <w:rsid w:val="61E84C4F"/>
    <w:rsid w:val="61F93300"/>
    <w:rsid w:val="62173786"/>
    <w:rsid w:val="62C55A02"/>
    <w:rsid w:val="62EA2C49"/>
    <w:rsid w:val="63121F67"/>
    <w:rsid w:val="633839B4"/>
    <w:rsid w:val="639A641D"/>
    <w:rsid w:val="63B26FEF"/>
    <w:rsid w:val="63E46FDE"/>
    <w:rsid w:val="645E569D"/>
    <w:rsid w:val="64667304"/>
    <w:rsid w:val="646950E5"/>
    <w:rsid w:val="64D616D7"/>
    <w:rsid w:val="65803FD5"/>
    <w:rsid w:val="65C9123C"/>
    <w:rsid w:val="65D02253"/>
    <w:rsid w:val="65DF7833"/>
    <w:rsid w:val="662F72F1"/>
    <w:rsid w:val="66BC783D"/>
    <w:rsid w:val="66C37A39"/>
    <w:rsid w:val="66C57595"/>
    <w:rsid w:val="66C72274"/>
    <w:rsid w:val="673927C8"/>
    <w:rsid w:val="67957627"/>
    <w:rsid w:val="67BA4365"/>
    <w:rsid w:val="681F08C7"/>
    <w:rsid w:val="6837248C"/>
    <w:rsid w:val="684B5F38"/>
    <w:rsid w:val="68594AF9"/>
    <w:rsid w:val="693410C2"/>
    <w:rsid w:val="699D6A56"/>
    <w:rsid w:val="69B0699A"/>
    <w:rsid w:val="69F148BD"/>
    <w:rsid w:val="6A163903"/>
    <w:rsid w:val="6A3A7CAA"/>
    <w:rsid w:val="6A5F7A58"/>
    <w:rsid w:val="6A625BE0"/>
    <w:rsid w:val="6A715519"/>
    <w:rsid w:val="6B6F018F"/>
    <w:rsid w:val="6B742287"/>
    <w:rsid w:val="6B7D33A6"/>
    <w:rsid w:val="6BA91B5F"/>
    <w:rsid w:val="6BF7045D"/>
    <w:rsid w:val="6C2947E2"/>
    <w:rsid w:val="6C2D5F89"/>
    <w:rsid w:val="6C9D7A9B"/>
    <w:rsid w:val="6CB72660"/>
    <w:rsid w:val="6CDA3D2E"/>
    <w:rsid w:val="6CDA5ADC"/>
    <w:rsid w:val="6D0D7C60"/>
    <w:rsid w:val="6D246144"/>
    <w:rsid w:val="6D9E357A"/>
    <w:rsid w:val="6DCB5378"/>
    <w:rsid w:val="6DF919B4"/>
    <w:rsid w:val="6E8B4017"/>
    <w:rsid w:val="6EE80984"/>
    <w:rsid w:val="6F143371"/>
    <w:rsid w:val="6F147A42"/>
    <w:rsid w:val="6F6C2254"/>
    <w:rsid w:val="6F6F69B0"/>
    <w:rsid w:val="6F871F4B"/>
    <w:rsid w:val="6FDB5DF3"/>
    <w:rsid w:val="707A1AB0"/>
    <w:rsid w:val="70901B1E"/>
    <w:rsid w:val="70A55B4D"/>
    <w:rsid w:val="70A64653"/>
    <w:rsid w:val="716F2C97"/>
    <w:rsid w:val="717B51BA"/>
    <w:rsid w:val="71AD37BF"/>
    <w:rsid w:val="71BC3A02"/>
    <w:rsid w:val="71DE606F"/>
    <w:rsid w:val="722F2426"/>
    <w:rsid w:val="726E2F4F"/>
    <w:rsid w:val="72850A71"/>
    <w:rsid w:val="7298621E"/>
    <w:rsid w:val="72D1172F"/>
    <w:rsid w:val="72FB5606"/>
    <w:rsid w:val="730127A7"/>
    <w:rsid w:val="73216187"/>
    <w:rsid w:val="73504D4A"/>
    <w:rsid w:val="73506AF8"/>
    <w:rsid w:val="737427E7"/>
    <w:rsid w:val="73BD06EB"/>
    <w:rsid w:val="73DC65DE"/>
    <w:rsid w:val="743E1990"/>
    <w:rsid w:val="7485073F"/>
    <w:rsid w:val="7487654A"/>
    <w:rsid w:val="74DF0134"/>
    <w:rsid w:val="750B6A0E"/>
    <w:rsid w:val="75146B75"/>
    <w:rsid w:val="75456E95"/>
    <w:rsid w:val="75C15A8B"/>
    <w:rsid w:val="760A11E0"/>
    <w:rsid w:val="765A0A00"/>
    <w:rsid w:val="76B914B2"/>
    <w:rsid w:val="76D50072"/>
    <w:rsid w:val="76F459ED"/>
    <w:rsid w:val="77175830"/>
    <w:rsid w:val="77185B7F"/>
    <w:rsid w:val="77327DFA"/>
    <w:rsid w:val="77594AD0"/>
    <w:rsid w:val="77A94A29"/>
    <w:rsid w:val="77C92BB5"/>
    <w:rsid w:val="78044AA5"/>
    <w:rsid w:val="780D320A"/>
    <w:rsid w:val="78471611"/>
    <w:rsid w:val="786B4915"/>
    <w:rsid w:val="78746DE5"/>
    <w:rsid w:val="78877688"/>
    <w:rsid w:val="78AA782F"/>
    <w:rsid w:val="78EF2A47"/>
    <w:rsid w:val="79077C59"/>
    <w:rsid w:val="790E7239"/>
    <w:rsid w:val="79144B15"/>
    <w:rsid w:val="79646E59"/>
    <w:rsid w:val="79A979D1"/>
    <w:rsid w:val="7A0B5527"/>
    <w:rsid w:val="7A740685"/>
    <w:rsid w:val="7AB4796D"/>
    <w:rsid w:val="7ACA53E2"/>
    <w:rsid w:val="7AD66CDA"/>
    <w:rsid w:val="7B0527BD"/>
    <w:rsid w:val="7BBA2F77"/>
    <w:rsid w:val="7BD7123E"/>
    <w:rsid w:val="7BE50F32"/>
    <w:rsid w:val="7BF93977"/>
    <w:rsid w:val="7C2E1C45"/>
    <w:rsid w:val="7C7B2E38"/>
    <w:rsid w:val="7C7C6D61"/>
    <w:rsid w:val="7C8C3094"/>
    <w:rsid w:val="7C970ADF"/>
    <w:rsid w:val="7D056BA5"/>
    <w:rsid w:val="7D592A4D"/>
    <w:rsid w:val="7D6B71FE"/>
    <w:rsid w:val="7D8C697F"/>
    <w:rsid w:val="7DDA5D5D"/>
    <w:rsid w:val="7DDE101B"/>
    <w:rsid w:val="7E5356EF"/>
    <w:rsid w:val="7E576A93"/>
    <w:rsid w:val="7E827ED4"/>
    <w:rsid w:val="7EEF3669"/>
    <w:rsid w:val="7F012093"/>
    <w:rsid w:val="7F2826D7"/>
    <w:rsid w:val="7F2B7A43"/>
    <w:rsid w:val="7F3F57DE"/>
    <w:rsid w:val="7F764D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6"/>
      <w:szCs w:val="16"/>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55AA"/>
      <w:u w:val="none"/>
    </w:rPr>
  </w:style>
  <w:style w:type="character" w:styleId="12">
    <w:name w:val="annotation reference"/>
    <w:basedOn w:val="9"/>
    <w:qFormat/>
    <w:uiPriority w:val="0"/>
    <w:rPr>
      <w:sz w:val="21"/>
      <w:szCs w:val="21"/>
    </w:rPr>
  </w:style>
  <w:style w:type="character" w:customStyle="1" w:styleId="13">
    <w:name w:val="批注框文本 Char"/>
    <w:basedOn w:val="9"/>
    <w:link w:val="4"/>
    <w:qFormat/>
    <w:uiPriority w:val="0"/>
    <w:rPr>
      <w:rFonts w:asciiTheme="minorHAnsi" w:hAnsiTheme="minorHAnsi" w:eastAsiaTheme="minorEastAsia" w:cstheme="minorBidi"/>
      <w:kern w:val="2"/>
      <w:sz w:val="16"/>
      <w:szCs w:val="16"/>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531</Words>
  <Characters>3031</Characters>
  <Lines>25</Lines>
  <Paragraphs>7</Paragraphs>
  <TotalTime>0</TotalTime>
  <ScaleCrop>false</ScaleCrop>
  <LinksUpToDate>false</LinksUpToDate>
  <CharactersWithSpaces>3555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2023-07-24T03:07:00Z</dcterms:created>
  <dc:creator>Administrator</dc:creator>
  <cp:lastModifiedBy>aaa</cp:lastModifiedBy>
  <cp:lastPrinted>2022-10-31T02:25:00Z</cp:lastPrinted>
  <dcterms:modified xsi:type="dcterms:W3CDTF">2023-08-09T08:09:26Z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83EDE67813674A359A95F45F4FE8FDB0_13</vt:lpwstr>
  </property>
</Properties>
</file>