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EA" w:rsidRDefault="00AE5994">
      <w:pPr>
        <w:spacing w:line="620" w:lineRule="exact"/>
        <w:ind w:firstLineChars="50" w:firstLine="220"/>
        <w:jc w:val="left"/>
        <w:rPr>
          <w:rFonts w:ascii="方正小标宋简体" w:eastAsia="方正小标宋简体" w:hAnsi="Times New Roman" w:cs="方正小标宋简体"/>
          <w:sz w:val="44"/>
          <w:szCs w:val="44"/>
        </w:rPr>
      </w:pPr>
      <w:r>
        <w:rPr>
          <w:rFonts w:ascii="方正小标宋简体" w:eastAsia="方正小标宋简体" w:hAnsi="Times New Roman" w:cs="方正小标宋简体" w:hint="eastAsia"/>
          <w:sz w:val="44"/>
          <w:szCs w:val="44"/>
        </w:rPr>
        <w:t>关于开展存量房“带押过户”业务的</w:t>
      </w:r>
      <w:r w:rsidR="00DF708E">
        <w:rPr>
          <w:rFonts w:ascii="方正小标宋简体" w:eastAsia="方正小标宋简体" w:hAnsi="Times New Roman" w:cs="方正小标宋简体" w:hint="eastAsia"/>
          <w:sz w:val="44"/>
          <w:szCs w:val="44"/>
        </w:rPr>
        <w:t>实施意见</w:t>
      </w:r>
    </w:p>
    <w:p w:rsidR="007A62EA" w:rsidRDefault="00AE5994" w:rsidP="007A62EA">
      <w:pPr>
        <w:spacing w:line="540" w:lineRule="exact"/>
        <w:jc w:val="center"/>
        <w:rPr>
          <w:rFonts w:ascii="仿宋_GB2312" w:eastAsia="仿宋_GB2312" w:hAnsi="Times New Roman" w:cs="仿宋_GB2312"/>
        </w:rPr>
      </w:pPr>
      <w:r>
        <w:rPr>
          <w:rFonts w:ascii="楷体" w:eastAsia="楷体" w:hAnsi="楷体" w:cs="仿宋_GB2312" w:hint="eastAsia"/>
          <w:bCs/>
        </w:rPr>
        <w:t>（征求意见稿）</w:t>
      </w:r>
    </w:p>
    <w:p w:rsidR="007A62EA" w:rsidRDefault="007A62EA">
      <w:pPr>
        <w:spacing w:line="540" w:lineRule="exact"/>
        <w:ind w:firstLineChars="200" w:firstLine="640"/>
        <w:rPr>
          <w:rFonts w:ascii="楷体" w:eastAsia="楷体" w:hAnsi="楷体" w:cs="仿宋_GB2312"/>
        </w:rPr>
      </w:pPr>
    </w:p>
    <w:p w:rsidR="007A62EA" w:rsidRPr="00D622DB" w:rsidRDefault="00AE5994">
      <w:pPr>
        <w:spacing w:line="540" w:lineRule="exact"/>
        <w:ind w:firstLineChars="200" w:firstLine="640"/>
        <w:rPr>
          <w:rFonts w:cs="仿宋_GB2312"/>
        </w:rPr>
      </w:pPr>
      <w:r w:rsidRPr="00D622DB">
        <w:rPr>
          <w:rFonts w:cs="仿宋_GB2312" w:hint="eastAsia"/>
        </w:rPr>
        <w:t>为持续优化营商环境，简化抵押存量房交易程序，降低存量房交易成本，确保交易资金安全，根据《民法典》抵押财产处分</w:t>
      </w:r>
      <w:r w:rsidR="00CB0565" w:rsidRPr="00D622DB">
        <w:rPr>
          <w:rFonts w:cs="仿宋_GB2312" w:hint="eastAsia"/>
        </w:rPr>
        <w:t>相关</w:t>
      </w:r>
      <w:r w:rsidRPr="00D622DB">
        <w:rPr>
          <w:rFonts w:cs="仿宋_GB2312" w:hint="eastAsia"/>
        </w:rPr>
        <w:t>规定</w:t>
      </w:r>
      <w:r w:rsidR="00CB0565" w:rsidRPr="00D622DB">
        <w:rPr>
          <w:rFonts w:cs="仿宋_GB2312" w:hint="eastAsia"/>
        </w:rPr>
        <w:t>及</w:t>
      </w:r>
      <w:r w:rsidRPr="00D622DB">
        <w:rPr>
          <w:rFonts w:cs="仿宋_GB2312" w:hint="eastAsia"/>
        </w:rPr>
        <w:t>《住房城乡建设部关于进一步规范和加强房屋网签备案工作的指导意见》(建房</w:t>
      </w:r>
      <w:r w:rsidR="00DD78CC" w:rsidRPr="00D622DB">
        <w:rPr>
          <w:rFonts w:cs="仿宋_GB2312" w:hint="eastAsia"/>
        </w:rPr>
        <w:t>﹝2018﹞</w:t>
      </w:r>
      <w:r w:rsidRPr="00D622DB">
        <w:rPr>
          <w:rFonts w:cs="仿宋_GB2312" w:hint="eastAsia"/>
        </w:rPr>
        <w:t>128号)</w:t>
      </w:r>
      <w:r w:rsidR="004E47D9" w:rsidRPr="00D622DB">
        <w:rPr>
          <w:rFonts w:cs="仿宋_GB2312" w:hint="eastAsia"/>
        </w:rPr>
        <w:t>、《自然资源部关于做好不动产抵押权登记工作的通知》（自然资发﹝2021﹞54号）</w:t>
      </w:r>
      <w:r w:rsidR="001D3929" w:rsidRPr="00D622DB">
        <w:rPr>
          <w:rFonts w:cs="仿宋_GB2312" w:hint="eastAsia"/>
        </w:rPr>
        <w:t>、</w:t>
      </w:r>
      <w:r w:rsidRPr="00D622DB">
        <w:rPr>
          <w:rFonts w:cs="仿宋_GB2312" w:hint="eastAsia"/>
        </w:rPr>
        <w:t>《关于做好存量房“带</w:t>
      </w:r>
      <w:r w:rsidR="00513E12" w:rsidRPr="00D622DB">
        <w:rPr>
          <w:rFonts w:cs="仿宋_GB2312" w:hint="eastAsia"/>
        </w:rPr>
        <w:t>抵</w:t>
      </w:r>
      <w:r w:rsidRPr="00D622DB">
        <w:rPr>
          <w:rFonts w:cs="仿宋_GB2312" w:hint="eastAsia"/>
        </w:rPr>
        <w:t>押过户”工作的通知》（吉建联发</w:t>
      </w:r>
      <w:r w:rsidR="00DD78CC" w:rsidRPr="00D622DB">
        <w:rPr>
          <w:rFonts w:cs="仿宋_GB2312" w:hint="eastAsia"/>
        </w:rPr>
        <w:t>﹝2022﹞</w:t>
      </w:r>
      <w:r w:rsidRPr="00D622DB">
        <w:rPr>
          <w:rFonts w:cs="仿宋_GB2312" w:hint="eastAsia"/>
        </w:rPr>
        <w:t>54号）</w:t>
      </w:r>
      <w:r w:rsidR="00CB0565" w:rsidRPr="00D622DB">
        <w:rPr>
          <w:rFonts w:cs="仿宋_GB2312" w:hint="eastAsia"/>
        </w:rPr>
        <w:t>等</w:t>
      </w:r>
      <w:r w:rsidRPr="00D622DB">
        <w:rPr>
          <w:rFonts w:cs="仿宋_GB2312" w:hint="eastAsia"/>
        </w:rPr>
        <w:t>文件</w:t>
      </w:r>
      <w:r w:rsidR="00CB0565" w:rsidRPr="00D622DB">
        <w:rPr>
          <w:rFonts w:cs="仿宋_GB2312" w:hint="eastAsia"/>
        </w:rPr>
        <w:t>精神</w:t>
      </w:r>
      <w:r w:rsidRPr="00D622DB">
        <w:rPr>
          <w:rFonts w:cs="仿宋_GB2312" w:hint="eastAsia"/>
        </w:rPr>
        <w:t>，在全市开展存量房在未解除原抵押状态下交易过户（简称“带押过户</w:t>
      </w:r>
      <w:r w:rsidR="00BC178E" w:rsidRPr="00D622DB">
        <w:rPr>
          <w:rFonts w:cs="仿宋_GB2312" w:hint="eastAsia"/>
        </w:rPr>
        <w:t>”）工作，结合</w:t>
      </w:r>
      <w:r w:rsidR="006D3F09" w:rsidRPr="00D622DB">
        <w:rPr>
          <w:rFonts w:cs="仿宋_GB2312" w:hint="eastAsia"/>
        </w:rPr>
        <w:t>我</w:t>
      </w:r>
      <w:r w:rsidR="00BC178E" w:rsidRPr="00D622DB">
        <w:rPr>
          <w:rFonts w:cs="仿宋_GB2312" w:hint="eastAsia"/>
        </w:rPr>
        <w:t>市实际，制定本实施意见。</w:t>
      </w:r>
    </w:p>
    <w:p w:rsidR="007A62EA" w:rsidRPr="00D622DB" w:rsidRDefault="00AE5994">
      <w:pPr>
        <w:spacing w:line="540" w:lineRule="exact"/>
        <w:ind w:firstLineChars="200" w:firstLine="640"/>
        <w:rPr>
          <w:rFonts w:cs="仿宋_GB2312"/>
        </w:rPr>
      </w:pPr>
      <w:r w:rsidRPr="00D622DB">
        <w:rPr>
          <w:rFonts w:cs="仿宋_GB2312" w:hint="eastAsia"/>
        </w:rPr>
        <w:t>一、一般规定</w:t>
      </w:r>
    </w:p>
    <w:p w:rsidR="007A62EA" w:rsidRPr="00D622DB" w:rsidRDefault="00AE5994">
      <w:pPr>
        <w:spacing w:line="540" w:lineRule="exact"/>
        <w:ind w:firstLineChars="200" w:firstLine="640"/>
        <w:rPr>
          <w:rFonts w:cs="仿宋_GB2312"/>
        </w:rPr>
      </w:pPr>
      <w:r w:rsidRPr="00D622DB">
        <w:rPr>
          <w:rFonts w:cs="仿宋_GB2312" w:hint="eastAsia"/>
        </w:rPr>
        <w:t>（一）结合不动产交易与登记“一窗受理、集成服务”工作，进一步加强房屋交易合同管理与不动产登记工作的有效衔接，支持</w:t>
      </w:r>
      <w:r w:rsidRPr="00D622DB">
        <w:rPr>
          <w:rFonts w:cs="仿宋_GB2312" w:hint="eastAsia"/>
          <w:color w:val="000000" w:themeColor="text1"/>
        </w:rPr>
        <w:t>抵押权人、抵</w:t>
      </w:r>
      <w:r w:rsidRPr="00D622DB">
        <w:rPr>
          <w:rFonts w:cs="仿宋_GB2312" w:hint="eastAsia"/>
        </w:rPr>
        <w:t>押人（卖方）、买方三方共同申请办理“带押过户”，实现只进“一个窗口”、提交“一套材料”、办理“一次业务”，即可同步完成抵押存量房过户、买方抵押权新设、卖方原抵押权注销、转移或变更等多个事项，降低交易难度，节约群众交易资金和时间成本。</w:t>
      </w:r>
    </w:p>
    <w:p w:rsidR="007A62EA" w:rsidRPr="00D622DB" w:rsidRDefault="00FE15A7">
      <w:pPr>
        <w:spacing w:line="540" w:lineRule="exact"/>
        <w:ind w:firstLineChars="200" w:firstLine="640"/>
        <w:rPr>
          <w:rFonts w:cs="仿宋_GB2312"/>
        </w:rPr>
      </w:pPr>
      <w:r w:rsidRPr="00D622DB">
        <w:rPr>
          <w:rFonts w:cs="仿宋_GB2312" w:hint="eastAsia"/>
        </w:rPr>
        <w:t>（二）《民法典》施行前已经办理抵押登记的不动产，抵押期间转让的，由抵押权人、抵押人（卖方）、买方共同申请办理。</w:t>
      </w:r>
      <w:r w:rsidR="00AE5994" w:rsidRPr="00D622DB">
        <w:rPr>
          <w:rFonts w:cs="仿宋_GB2312" w:hint="eastAsia"/>
        </w:rPr>
        <w:t>《民法典》施行后办理抵押登记时，不动产登记簿中“是否存在禁止或限制转让抵押不动产的约定”记载为“是”的不动产，抵</w:t>
      </w:r>
      <w:r w:rsidR="00AE5994" w:rsidRPr="00D622DB">
        <w:rPr>
          <w:rFonts w:cs="仿宋_GB2312" w:hint="eastAsia"/>
        </w:rPr>
        <w:lastRenderedPageBreak/>
        <w:t>押期间依法转让的，由抵押权人、抵押人（卖方）、买方共同申请办理。</w:t>
      </w:r>
    </w:p>
    <w:p w:rsidR="007A62EA" w:rsidRPr="00D622DB" w:rsidRDefault="00AE5994">
      <w:pPr>
        <w:spacing w:line="540" w:lineRule="exact"/>
        <w:ind w:firstLineChars="200" w:firstLine="640"/>
        <w:rPr>
          <w:rFonts w:cs="仿宋_GB2312"/>
        </w:rPr>
      </w:pPr>
      <w:r w:rsidRPr="00D622DB">
        <w:rPr>
          <w:rFonts w:cs="仿宋_GB2312" w:hint="eastAsia"/>
        </w:rPr>
        <w:t>《民法典》施行后办理抵押登记时，不动产登记簿中“是否存在禁止或限制转让抵押不动产的约定”记载为“否”的不动产，抵押期间依法转让的，由抵押人（卖方）、买方共同申请办理。</w:t>
      </w:r>
    </w:p>
    <w:p w:rsidR="007A62EA" w:rsidRPr="00D622DB" w:rsidRDefault="00AE5994">
      <w:pPr>
        <w:spacing w:line="540" w:lineRule="exact"/>
        <w:ind w:firstLineChars="200" w:firstLine="640"/>
        <w:rPr>
          <w:rFonts w:cs="仿宋_GB2312"/>
        </w:rPr>
      </w:pPr>
      <w:r w:rsidRPr="00D622DB">
        <w:rPr>
          <w:rFonts w:cs="仿宋_GB2312" w:hint="eastAsia"/>
        </w:rPr>
        <w:t>（三）开展存量房买卖合同网签备案业务。房屋交易机构要优化存量房交易网签备案系统，实现线上线下均可申请办理抵押存量房买卖合同网签备案手续，相关备案信息与税务、不动产登记机构实现共享。</w:t>
      </w:r>
    </w:p>
    <w:p w:rsidR="007A62EA" w:rsidRPr="00D622DB" w:rsidRDefault="00AE5994">
      <w:pPr>
        <w:spacing w:line="540" w:lineRule="exact"/>
        <w:ind w:firstLineChars="200" w:firstLine="640"/>
        <w:rPr>
          <w:rFonts w:cs="仿宋_GB2312"/>
        </w:rPr>
      </w:pPr>
      <w:r w:rsidRPr="00D622DB">
        <w:rPr>
          <w:rFonts w:cs="仿宋_GB2312" w:hint="eastAsia"/>
        </w:rPr>
        <w:t>(四)房屋交易、税务、不动产登记机构要结合“带押过户”工作实际，进一步优化合同网签、税收征缴和不动产登记办事流程，进一步简化申报材料、压缩办理时限，通过信息共享、数据跑动，提高行政管理部门工作效率和服务水平。</w:t>
      </w:r>
    </w:p>
    <w:p w:rsidR="007A62EA" w:rsidRPr="00D622DB" w:rsidRDefault="00AE5994">
      <w:pPr>
        <w:spacing w:line="540" w:lineRule="exact"/>
        <w:ind w:firstLineChars="200" w:firstLine="640"/>
        <w:rPr>
          <w:rFonts w:cs="仿宋_GB2312"/>
        </w:rPr>
      </w:pPr>
      <w:r w:rsidRPr="00D622DB">
        <w:rPr>
          <w:rFonts w:cs="仿宋_GB2312" w:hint="eastAsia"/>
          <w:bCs/>
        </w:rPr>
        <w:t>(五)由</w:t>
      </w:r>
      <w:r w:rsidRPr="00D622DB">
        <w:rPr>
          <w:rFonts w:cs="仿宋_GB2312" w:hint="eastAsia"/>
        </w:rPr>
        <w:t>房屋交易机构设立交易资金监管账户（以下简称“监管账户”），负责存量房交易资金监管的组织实施工作。</w:t>
      </w:r>
    </w:p>
    <w:p w:rsidR="007A62EA" w:rsidRPr="00D622DB" w:rsidRDefault="00AE5994">
      <w:pPr>
        <w:spacing w:line="540" w:lineRule="exact"/>
        <w:ind w:firstLineChars="200" w:firstLine="640"/>
        <w:rPr>
          <w:rFonts w:cs="仿宋_GB2312"/>
        </w:rPr>
      </w:pPr>
      <w:r w:rsidRPr="00D622DB">
        <w:rPr>
          <w:rFonts w:cs="仿宋_GB2312" w:hint="eastAsia"/>
        </w:rPr>
        <w:t xml:space="preserve">二、业务流程 </w:t>
      </w:r>
    </w:p>
    <w:p w:rsidR="007A62EA" w:rsidRPr="00D622DB" w:rsidRDefault="00AE5994">
      <w:pPr>
        <w:spacing w:line="540" w:lineRule="exact"/>
        <w:ind w:firstLineChars="200" w:firstLine="640"/>
        <w:rPr>
          <w:rFonts w:cs="仿宋_GB2312"/>
        </w:rPr>
      </w:pPr>
      <w:r w:rsidRPr="00D622DB">
        <w:rPr>
          <w:rFonts w:cs="仿宋_GB2312" w:hint="eastAsia"/>
          <w:bCs/>
        </w:rPr>
        <w:t>(六)</w:t>
      </w:r>
      <w:r w:rsidRPr="00D622DB">
        <w:rPr>
          <w:rFonts w:cs="仿宋_GB2312" w:hint="eastAsia"/>
          <w:bCs/>
          <w:color w:val="000000" w:themeColor="text1"/>
        </w:rPr>
        <w:t>《民法典》施行后，</w:t>
      </w:r>
      <w:r w:rsidRPr="00D622DB">
        <w:rPr>
          <w:rFonts w:cs="仿宋_GB2312" w:hint="eastAsia"/>
          <w:bCs/>
        </w:rPr>
        <w:t>不动产登记簿中</w:t>
      </w:r>
      <w:r w:rsidR="0052004F" w:rsidRPr="00D622DB">
        <w:rPr>
          <w:rFonts w:cs="仿宋_GB2312" w:hint="eastAsia"/>
          <w:bCs/>
        </w:rPr>
        <w:t>记载</w:t>
      </w:r>
      <w:r w:rsidRPr="00D622DB">
        <w:rPr>
          <w:rFonts w:cs="仿宋_GB2312" w:hint="eastAsia"/>
          <w:bCs/>
        </w:rPr>
        <w:t>禁止或限制转让抵押不动产约定的，买方贷款购买已抵押存量房业务</w:t>
      </w:r>
    </w:p>
    <w:p w:rsidR="007A62EA" w:rsidRPr="00D622DB" w:rsidRDefault="00AE5994">
      <w:pPr>
        <w:spacing w:line="540" w:lineRule="exact"/>
        <w:ind w:firstLineChars="200" w:firstLine="640"/>
        <w:rPr>
          <w:rFonts w:cs="仿宋_GB2312"/>
        </w:rPr>
      </w:pPr>
      <w:r w:rsidRPr="00D622DB">
        <w:rPr>
          <w:rFonts w:cs="仿宋_GB2312" w:hint="eastAsia"/>
        </w:rPr>
        <w:t>1、合同备案。存量房买卖双方达成交易意向，按房屋交易机构要求，签订《资金监管协议》、《资金委托划付协议》及其他必要性材料后，买卖双方及贷款银行签订存量房买卖合同、抵押合同并经房屋交易机构备案。</w:t>
      </w:r>
    </w:p>
    <w:p w:rsidR="007A62EA" w:rsidRPr="00D622DB" w:rsidRDefault="00AE5994">
      <w:pPr>
        <w:spacing w:line="540" w:lineRule="exact"/>
        <w:ind w:firstLineChars="200" w:firstLine="640"/>
        <w:rPr>
          <w:rFonts w:cs="仿宋_GB2312"/>
          <w:shd w:val="pct10" w:color="auto" w:fill="FFFFFF"/>
        </w:rPr>
      </w:pPr>
      <w:r w:rsidRPr="00D622DB">
        <w:rPr>
          <w:rFonts w:cs="仿宋_GB2312" w:hint="eastAsia"/>
        </w:rPr>
        <w:t>2、资金存入监管账户。买方及其贷款银行将</w:t>
      </w:r>
      <w:r w:rsidRPr="00D622DB">
        <w:rPr>
          <w:rFonts w:cs="仿宋_GB2312" w:hint="eastAsia"/>
          <w:color w:val="000000" w:themeColor="text1"/>
        </w:rPr>
        <w:t>购房款和贷款资金足额</w:t>
      </w:r>
      <w:r w:rsidRPr="00D622DB">
        <w:rPr>
          <w:rFonts w:cs="仿宋_GB2312" w:hint="eastAsia"/>
        </w:rPr>
        <w:t>存入监管账户。</w:t>
      </w:r>
    </w:p>
    <w:p w:rsidR="007A62EA" w:rsidRPr="00D622DB" w:rsidRDefault="00AE5994">
      <w:pPr>
        <w:spacing w:line="540" w:lineRule="exact"/>
        <w:ind w:firstLineChars="200" w:firstLine="640"/>
        <w:rPr>
          <w:rFonts w:cs="仿宋_GB2312"/>
        </w:rPr>
      </w:pPr>
      <w:r w:rsidRPr="00D622DB">
        <w:rPr>
          <w:rFonts w:cs="仿宋_GB2312" w:hint="eastAsia"/>
        </w:rPr>
        <w:lastRenderedPageBreak/>
        <w:t>3、办理组合登记手续。</w:t>
      </w:r>
      <w:r w:rsidRPr="00D622DB">
        <w:rPr>
          <w:rFonts w:cs="宋体" w:hint="eastAsia"/>
          <w:color w:val="000000" w:themeColor="text1"/>
          <w:kern w:val="0"/>
        </w:rPr>
        <w:t>买卖双方</w:t>
      </w:r>
      <w:r w:rsidRPr="00D622DB">
        <w:rPr>
          <w:rFonts w:cs="宋体" w:hint="eastAsia"/>
          <w:kern w:val="0"/>
        </w:rPr>
        <w:t>和</w:t>
      </w:r>
      <w:r w:rsidR="00EA789D" w:rsidRPr="00D622DB">
        <w:rPr>
          <w:rFonts w:cs="宋体" w:hint="eastAsia"/>
          <w:kern w:val="0"/>
        </w:rPr>
        <w:t>贷款银行</w:t>
      </w:r>
      <w:r w:rsidRPr="00D622DB">
        <w:rPr>
          <w:rFonts w:cs="宋体" w:hint="eastAsia"/>
          <w:color w:val="000000" w:themeColor="text1"/>
          <w:kern w:val="0"/>
        </w:rPr>
        <w:t>持申请表、</w:t>
      </w:r>
      <w:r w:rsidRPr="00D622DB">
        <w:rPr>
          <w:rFonts w:cs="宋体" w:hint="eastAsia"/>
          <w:kern w:val="0"/>
        </w:rPr>
        <w:t>存量房</w:t>
      </w:r>
      <w:r w:rsidRPr="00D622DB">
        <w:rPr>
          <w:rFonts w:cs="宋体" w:hint="eastAsia"/>
          <w:color w:val="000000" w:themeColor="text1"/>
          <w:kern w:val="0"/>
        </w:rPr>
        <w:t>买卖合同（线上提取）、权属证书、买卖双方身份证明、</w:t>
      </w:r>
      <w:r w:rsidRPr="00D622DB">
        <w:rPr>
          <w:rFonts w:cs="宋体" w:hint="eastAsia"/>
          <w:kern w:val="0"/>
        </w:rPr>
        <w:t>营业执照</w:t>
      </w:r>
      <w:r w:rsidRPr="00D622DB">
        <w:rPr>
          <w:rFonts w:cs="宋体" w:hint="eastAsia"/>
          <w:color w:val="000000" w:themeColor="text1"/>
          <w:kern w:val="0"/>
        </w:rPr>
        <w:t>、授权委托书及经办人身份证明、</w:t>
      </w:r>
      <w:r w:rsidRPr="00D622DB">
        <w:rPr>
          <w:rFonts w:cs="仿宋_GB2312" w:hint="eastAsia"/>
        </w:rPr>
        <w:t>卖方抵押权人出具的同意办理“带押过户”材料、买方贷款银行设立抵押权</w:t>
      </w:r>
      <w:r w:rsidRPr="00D622DB">
        <w:rPr>
          <w:rFonts w:cs="宋体" w:hint="eastAsia"/>
          <w:color w:val="000000" w:themeColor="text1"/>
          <w:kern w:val="0"/>
        </w:rPr>
        <w:t>等材料</w:t>
      </w:r>
      <w:r w:rsidRPr="00D622DB">
        <w:rPr>
          <w:rFonts w:cs="宋体" w:hint="eastAsia"/>
          <w:kern w:val="0"/>
        </w:rPr>
        <w:t>共同到房屋交易机构及不动产登记部门</w:t>
      </w:r>
      <w:r w:rsidRPr="00D622DB">
        <w:rPr>
          <w:rFonts w:cs="仿宋_GB2312" w:hint="eastAsia"/>
        </w:rPr>
        <w:t>办理不动产转移、买方新抵押权设立、卖方原抵押</w:t>
      </w:r>
      <w:r w:rsidR="00FE0953" w:rsidRPr="00D622DB">
        <w:rPr>
          <w:rFonts w:cs="仿宋_GB2312" w:hint="eastAsia"/>
        </w:rPr>
        <w:t>权</w:t>
      </w:r>
      <w:r w:rsidRPr="00D622DB">
        <w:rPr>
          <w:rFonts w:cs="仿宋_GB2312" w:hint="eastAsia"/>
        </w:rPr>
        <w:t>注销的组合登记手续。</w:t>
      </w:r>
    </w:p>
    <w:p w:rsidR="007A62EA" w:rsidRPr="00D622DB" w:rsidRDefault="00AE5994">
      <w:pPr>
        <w:spacing w:line="540" w:lineRule="exact"/>
        <w:ind w:firstLineChars="200" w:firstLine="640"/>
        <w:rPr>
          <w:rFonts w:cs="仿宋_GB2312"/>
        </w:rPr>
      </w:pPr>
      <w:r w:rsidRPr="00D622DB">
        <w:rPr>
          <w:rFonts w:cs="仿宋_GB2312" w:hint="eastAsia"/>
        </w:rPr>
        <w:t>4、根据需要办理“双预告”、“预转本”登记手续。</w:t>
      </w:r>
    </w:p>
    <w:p w:rsidR="007A62EA" w:rsidRPr="00D622DB" w:rsidRDefault="00AE5994">
      <w:pPr>
        <w:spacing w:line="540" w:lineRule="exact"/>
        <w:ind w:firstLineChars="200" w:firstLine="640"/>
        <w:rPr>
          <w:rFonts w:cs="仿宋_GB2312"/>
        </w:rPr>
      </w:pPr>
      <w:r w:rsidRPr="00D622DB">
        <w:rPr>
          <w:rFonts w:cs="仿宋_GB2312" w:hint="eastAsia"/>
        </w:rPr>
        <w:t>办理存量房转移预告登记及抵押预告登记</w:t>
      </w:r>
      <w:r w:rsidRPr="00D622DB">
        <w:rPr>
          <w:rFonts w:cs="宋体" w:hint="eastAsia"/>
          <w:color w:val="000000" w:themeColor="text1"/>
          <w:kern w:val="0"/>
        </w:rPr>
        <w:t>。买卖双方和</w:t>
      </w:r>
      <w:r w:rsidRPr="00D622DB">
        <w:rPr>
          <w:rFonts w:cs="仿宋_GB2312" w:hint="eastAsia"/>
        </w:rPr>
        <w:t>贷款银行通过不动产网上抵押系统，</w:t>
      </w:r>
      <w:r w:rsidRPr="00D622DB">
        <w:rPr>
          <w:rFonts w:cs="宋体" w:hint="eastAsia"/>
          <w:color w:val="000000" w:themeColor="text1"/>
          <w:kern w:val="0"/>
        </w:rPr>
        <w:t>上传申请表、权属证书、买卖双方身份</w:t>
      </w:r>
      <w:r w:rsidRPr="00D622DB">
        <w:rPr>
          <w:rFonts w:cs="宋体" w:hint="eastAsia"/>
          <w:kern w:val="0"/>
        </w:rPr>
        <w:t>证明、营业执照、授权</w:t>
      </w:r>
      <w:r w:rsidRPr="00D622DB">
        <w:rPr>
          <w:rFonts w:cs="宋体" w:hint="eastAsia"/>
          <w:color w:val="000000" w:themeColor="text1"/>
          <w:kern w:val="0"/>
        </w:rPr>
        <w:t>委托书及经办人身份证明、</w:t>
      </w:r>
      <w:r w:rsidRPr="00D622DB">
        <w:rPr>
          <w:rFonts w:cs="仿宋_GB2312" w:hint="eastAsia"/>
        </w:rPr>
        <w:t>卖方抵押权人出具的同意办理“带押过户”材料、</w:t>
      </w:r>
      <w:r w:rsidRPr="00D622DB">
        <w:rPr>
          <w:rFonts w:cs="宋体" w:hint="eastAsia"/>
          <w:kern w:val="0"/>
        </w:rPr>
        <w:t>抵押变更协议、预告登记的约定书等材料</w:t>
      </w:r>
      <w:r w:rsidRPr="00D622DB">
        <w:rPr>
          <w:rFonts w:cs="仿宋_GB2312" w:hint="eastAsia"/>
        </w:rPr>
        <w:t>。房屋交易机构和不动产登记部门根据线上申请，完成“双预告”业务审核，记载不动产登记簿，向</w:t>
      </w:r>
      <w:r w:rsidR="00EA789D" w:rsidRPr="00D622DB">
        <w:rPr>
          <w:rFonts w:cs="宋体" w:hint="eastAsia"/>
          <w:kern w:val="0"/>
        </w:rPr>
        <w:t>贷款银行</w:t>
      </w:r>
      <w:r w:rsidRPr="00D622DB">
        <w:rPr>
          <w:rFonts w:cs="仿宋_GB2312" w:hint="eastAsia"/>
        </w:rPr>
        <w:t>推送抵押预告登记的电子证明。</w:t>
      </w:r>
    </w:p>
    <w:p w:rsidR="007A62EA" w:rsidRPr="00D622DB" w:rsidRDefault="00AE5994">
      <w:pPr>
        <w:spacing w:line="540" w:lineRule="exact"/>
        <w:ind w:firstLineChars="200" w:firstLine="640"/>
        <w:rPr>
          <w:rFonts w:cs="仿宋_GB2312"/>
        </w:rPr>
      </w:pPr>
      <w:r w:rsidRPr="00D622DB">
        <w:rPr>
          <w:rFonts w:cs="仿宋_GB2312" w:hint="eastAsia"/>
        </w:rPr>
        <w:t>办理存量房转移预转本登记及抵押预转本登记。</w:t>
      </w:r>
      <w:r w:rsidRPr="00D622DB">
        <w:rPr>
          <w:rFonts w:cs="宋体" w:hint="eastAsia"/>
          <w:color w:val="000000" w:themeColor="text1"/>
          <w:kern w:val="0"/>
        </w:rPr>
        <w:t>买卖双方与贷款银行持抵押权注销登记申请、</w:t>
      </w:r>
      <w:r w:rsidRPr="00D622DB">
        <w:rPr>
          <w:rFonts w:cs="仿宋_GB2312" w:hint="eastAsia"/>
        </w:rPr>
        <w:t>他项权利证书或登记证明</w:t>
      </w:r>
      <w:r w:rsidRPr="00D622DB">
        <w:rPr>
          <w:rFonts w:cs="宋体" w:hint="eastAsia"/>
          <w:color w:val="000000" w:themeColor="text1"/>
          <w:kern w:val="0"/>
        </w:rPr>
        <w:t>、</w:t>
      </w:r>
      <w:r w:rsidRPr="00D622DB">
        <w:rPr>
          <w:rFonts w:cs="仿宋_GB2312" w:hint="eastAsia"/>
        </w:rPr>
        <w:t>营业执照、授权委托书及经办人身份证明（办理预告登记时已提交，系统可提取）等材料，缴纳相关税费，到房屋交易及不动产登记部门申请办理“存量房转移预转本登记”及“抵押预转本登记”并办理卖方原抵押权注销登记。</w:t>
      </w:r>
    </w:p>
    <w:p w:rsidR="007A62EA" w:rsidRPr="00D622DB" w:rsidRDefault="00AE5994">
      <w:pPr>
        <w:spacing w:line="540" w:lineRule="exact"/>
        <w:ind w:firstLineChars="200" w:firstLine="640"/>
        <w:rPr>
          <w:rFonts w:cs="仿宋_GB2312"/>
        </w:rPr>
      </w:pPr>
      <w:r w:rsidRPr="00D622DB">
        <w:rPr>
          <w:rFonts w:cs="仿宋_GB2312" w:hint="eastAsia"/>
        </w:rPr>
        <w:t>5、监管资金划转。组合登记办结后，根据房屋交易机构的指令，资金监管银行将监管账户的资金结清支付卖方原有贷款余额的本息，剩余资金根据买卖双方协议划转至卖方的指定银行账户。</w:t>
      </w:r>
    </w:p>
    <w:p w:rsidR="007A62EA" w:rsidRPr="00D622DB" w:rsidRDefault="00AE5994">
      <w:pPr>
        <w:spacing w:line="540" w:lineRule="exact"/>
        <w:ind w:firstLineChars="200" w:firstLine="640"/>
        <w:rPr>
          <w:rFonts w:cs="仿宋_GB2312"/>
          <w:bCs/>
        </w:rPr>
      </w:pPr>
      <w:r w:rsidRPr="00D622DB">
        <w:rPr>
          <w:rFonts w:cs="仿宋_GB2312" w:hint="eastAsia"/>
          <w:bCs/>
        </w:rPr>
        <w:lastRenderedPageBreak/>
        <w:t>（七）《民法典》施行后，不动产登记簿中记载禁止或限制转让抵押不动产约定的，买方全款购买已抵押存量房业务</w:t>
      </w:r>
    </w:p>
    <w:p w:rsidR="007A62EA" w:rsidRPr="00D622DB" w:rsidRDefault="00AE5994">
      <w:pPr>
        <w:spacing w:line="540" w:lineRule="exact"/>
        <w:ind w:firstLineChars="200" w:firstLine="640"/>
        <w:rPr>
          <w:rFonts w:cs="仿宋_GB2312"/>
          <w:color w:val="FF0000"/>
        </w:rPr>
      </w:pPr>
      <w:r w:rsidRPr="00D622DB">
        <w:rPr>
          <w:rFonts w:cs="仿宋_GB2312" w:hint="eastAsia"/>
        </w:rPr>
        <w:t>1、合同备案。买卖双方达成交易意向，签订《资金监管协议》、《资金委托划付协议》及其他必要性材料后，签订存量房买卖合同并经房屋交易机构备案。</w:t>
      </w:r>
    </w:p>
    <w:p w:rsidR="007A62EA" w:rsidRPr="00D622DB" w:rsidRDefault="00AE5994">
      <w:pPr>
        <w:spacing w:line="540" w:lineRule="exact"/>
        <w:ind w:firstLineChars="200" w:firstLine="640"/>
        <w:rPr>
          <w:rFonts w:cs="仿宋_GB2312"/>
          <w:shd w:val="pct10" w:color="auto" w:fill="FFFFFF"/>
        </w:rPr>
      </w:pPr>
      <w:r w:rsidRPr="00D622DB">
        <w:rPr>
          <w:rFonts w:cs="仿宋_GB2312" w:hint="eastAsia"/>
        </w:rPr>
        <w:t>2、资金存入监管账户。买方将购房款足额存入监管账户。</w:t>
      </w:r>
    </w:p>
    <w:p w:rsidR="007A62EA" w:rsidRPr="00D622DB" w:rsidRDefault="00AE5994">
      <w:pPr>
        <w:spacing w:line="540" w:lineRule="exact"/>
        <w:ind w:firstLineChars="200" w:firstLine="640"/>
        <w:rPr>
          <w:rFonts w:cs="仿宋_GB2312"/>
        </w:rPr>
      </w:pPr>
      <w:r w:rsidRPr="00D622DB">
        <w:rPr>
          <w:rFonts w:cs="仿宋_GB2312" w:hint="eastAsia"/>
        </w:rPr>
        <w:t>3、办理组合登记手续。</w:t>
      </w:r>
      <w:r w:rsidRPr="00D622DB">
        <w:rPr>
          <w:rFonts w:cs="宋体" w:hint="eastAsia"/>
          <w:color w:val="000000" w:themeColor="text1"/>
          <w:kern w:val="0"/>
        </w:rPr>
        <w:t>买卖双方持申请表、</w:t>
      </w:r>
      <w:r w:rsidR="007779BF" w:rsidRPr="00D622DB">
        <w:rPr>
          <w:rFonts w:cs="仿宋_GB2312" w:hint="eastAsia"/>
        </w:rPr>
        <w:t>存量房买卖合同</w:t>
      </w:r>
      <w:r w:rsidRPr="00D622DB">
        <w:rPr>
          <w:rFonts w:cs="宋体" w:hint="eastAsia"/>
          <w:color w:val="000000" w:themeColor="text1"/>
          <w:kern w:val="0"/>
        </w:rPr>
        <w:t>、权属证书、买卖双方身份证</w:t>
      </w:r>
      <w:r w:rsidRPr="00D622DB">
        <w:rPr>
          <w:rFonts w:cs="宋体" w:hint="eastAsia"/>
          <w:kern w:val="0"/>
        </w:rPr>
        <w:t>明、卖方</w:t>
      </w:r>
      <w:r w:rsidRPr="00D622DB">
        <w:rPr>
          <w:rFonts w:cs="仿宋_GB2312" w:hint="eastAsia"/>
        </w:rPr>
        <w:t>抵押权人出具的同意办理“带押过户”材料</w:t>
      </w:r>
      <w:r w:rsidRPr="00D622DB">
        <w:rPr>
          <w:rFonts w:cs="宋体" w:hint="eastAsia"/>
          <w:kern w:val="0"/>
        </w:rPr>
        <w:t>等共同到房屋交易机构及不动产登记部门</w:t>
      </w:r>
      <w:r w:rsidRPr="00D622DB">
        <w:rPr>
          <w:rFonts w:cs="仿宋_GB2312" w:hint="eastAsia"/>
        </w:rPr>
        <w:t>办理不动产转移、卖方原抵押</w:t>
      </w:r>
      <w:r w:rsidR="00FE0953" w:rsidRPr="00D622DB">
        <w:rPr>
          <w:rFonts w:cs="仿宋_GB2312" w:hint="eastAsia"/>
        </w:rPr>
        <w:t>权</w:t>
      </w:r>
      <w:r w:rsidRPr="00D622DB">
        <w:rPr>
          <w:rFonts w:cs="仿宋_GB2312" w:hint="eastAsia"/>
        </w:rPr>
        <w:t>注销的组合登记手续。</w:t>
      </w:r>
    </w:p>
    <w:p w:rsidR="007A62EA" w:rsidRPr="00D622DB" w:rsidRDefault="00AE5994">
      <w:pPr>
        <w:numPr>
          <w:ilvl w:val="0"/>
          <w:numId w:val="1"/>
        </w:numPr>
        <w:spacing w:line="540" w:lineRule="exact"/>
        <w:ind w:firstLineChars="200" w:firstLine="640"/>
        <w:rPr>
          <w:rFonts w:cs="仿宋_GB2312"/>
        </w:rPr>
      </w:pPr>
      <w:r w:rsidRPr="00D622DB">
        <w:rPr>
          <w:rFonts w:cs="仿宋_GB2312" w:hint="eastAsia"/>
        </w:rPr>
        <w:t>监管资金划转。组合登记办结后，根据房屋交易机构的指令，资金监管银行将监管账户的资金结清支付卖方原有贷款余额的本息，剩余资金根据买卖双方协议划转至卖方的指定银行账户。</w:t>
      </w:r>
    </w:p>
    <w:p w:rsidR="007A62EA" w:rsidRPr="00D622DB" w:rsidRDefault="00AE5994" w:rsidP="00D97215">
      <w:pPr>
        <w:spacing w:line="540" w:lineRule="exact"/>
        <w:ind w:firstLineChars="98" w:firstLine="314"/>
        <w:rPr>
          <w:rFonts w:cs="仿宋_GB2312"/>
        </w:rPr>
      </w:pPr>
      <w:r w:rsidRPr="00D622DB">
        <w:rPr>
          <w:rFonts w:cs="仿宋_GB2312" w:hint="eastAsia"/>
          <w:bCs/>
        </w:rPr>
        <w:t>（八）《民法典》施行后，不动产登记簿中</w:t>
      </w:r>
      <w:r w:rsidR="0052004F" w:rsidRPr="00D622DB">
        <w:rPr>
          <w:rFonts w:cs="仿宋_GB2312" w:hint="eastAsia"/>
          <w:bCs/>
        </w:rPr>
        <w:t>无禁止</w:t>
      </w:r>
      <w:r w:rsidRPr="00D622DB">
        <w:rPr>
          <w:rFonts w:cs="仿宋_GB2312" w:hint="eastAsia"/>
          <w:bCs/>
        </w:rPr>
        <w:t>或限制转让抵押不动产约定记载的，抵押期间依法转让业务</w:t>
      </w:r>
    </w:p>
    <w:p w:rsidR="007A62EA" w:rsidRPr="00D622DB" w:rsidRDefault="00AE5994">
      <w:pPr>
        <w:spacing w:line="540" w:lineRule="exact"/>
        <w:ind w:firstLineChars="200" w:firstLine="640"/>
        <w:rPr>
          <w:rFonts w:cs="仿宋_GB2312"/>
        </w:rPr>
      </w:pPr>
      <w:r w:rsidRPr="00D622DB">
        <w:rPr>
          <w:rFonts w:cs="仿宋_GB2312" w:hint="eastAsia"/>
        </w:rPr>
        <w:t>1、抵押人（卖方）转让抵押不动产的，已及时有效地通知抵押权人的，无需提交卖方抵押权人出具的同意办理“带押过户”材料。</w:t>
      </w:r>
    </w:p>
    <w:p w:rsidR="007A62EA" w:rsidRPr="00D622DB" w:rsidRDefault="00AE5994">
      <w:pPr>
        <w:spacing w:line="540" w:lineRule="exact"/>
        <w:ind w:firstLineChars="200" w:firstLine="640"/>
        <w:rPr>
          <w:rFonts w:cs="仿宋_GB2312"/>
        </w:rPr>
      </w:pPr>
      <w:r w:rsidRPr="00D622DB">
        <w:rPr>
          <w:rFonts w:cs="仿宋_GB2312" w:hint="eastAsia"/>
        </w:rPr>
        <w:t>2、建立监管账户、监管资金存入及划转参照本</w:t>
      </w:r>
      <w:r w:rsidR="007779BF" w:rsidRPr="00D622DB">
        <w:rPr>
          <w:rFonts w:cs="仿宋_GB2312" w:hint="eastAsia"/>
        </w:rPr>
        <w:t>规程</w:t>
      </w:r>
      <w:r w:rsidRPr="00D622DB">
        <w:rPr>
          <w:rFonts w:cs="仿宋_GB2312" w:hint="eastAsia"/>
        </w:rPr>
        <w:t>第（六）、（七）部分业务办理。</w:t>
      </w:r>
    </w:p>
    <w:p w:rsidR="007A62EA" w:rsidRPr="00D622DB" w:rsidRDefault="00AE5994">
      <w:pPr>
        <w:spacing w:line="540" w:lineRule="exact"/>
        <w:ind w:firstLineChars="200" w:firstLine="640"/>
        <w:rPr>
          <w:rFonts w:cs="仿宋_GB2312"/>
        </w:rPr>
      </w:pPr>
      <w:r w:rsidRPr="00D622DB">
        <w:rPr>
          <w:rFonts w:cs="仿宋_GB2312" w:hint="eastAsia"/>
        </w:rPr>
        <w:t>3、买卖双方到房屋交易机构及不动产登记部门办理不动产转移登记手续，抵押权不受影响。</w:t>
      </w:r>
    </w:p>
    <w:p w:rsidR="007A62EA" w:rsidRPr="00D622DB" w:rsidRDefault="00AE5994">
      <w:pPr>
        <w:spacing w:line="540" w:lineRule="exact"/>
        <w:ind w:firstLineChars="200" w:firstLine="640"/>
        <w:rPr>
          <w:rFonts w:cs="仿宋_GB2312"/>
          <w:color w:val="000000" w:themeColor="text1"/>
        </w:rPr>
      </w:pPr>
      <w:r w:rsidRPr="00D622DB">
        <w:rPr>
          <w:rFonts w:cs="仿宋_GB2312" w:hint="eastAsia"/>
          <w:color w:val="000000" w:themeColor="text1"/>
        </w:rPr>
        <w:t>4、资金监管银行应将监管账户的资金结清支付卖方原有贷</w:t>
      </w:r>
      <w:r w:rsidRPr="00D622DB">
        <w:rPr>
          <w:rFonts w:cs="仿宋_GB2312" w:hint="eastAsia"/>
          <w:color w:val="000000" w:themeColor="text1"/>
        </w:rPr>
        <w:lastRenderedPageBreak/>
        <w:t>款余额的本息，待原抵押</w:t>
      </w:r>
      <w:r w:rsidR="00FE0953" w:rsidRPr="00D622DB">
        <w:rPr>
          <w:rFonts w:cs="仿宋_GB2312" w:hint="eastAsia"/>
          <w:color w:val="000000" w:themeColor="text1"/>
        </w:rPr>
        <w:t>权</w:t>
      </w:r>
      <w:r w:rsidRPr="00D622DB">
        <w:rPr>
          <w:rFonts w:cs="仿宋_GB2312" w:hint="eastAsia"/>
          <w:color w:val="000000" w:themeColor="text1"/>
        </w:rPr>
        <w:t>注销后，再将剩余资金划转至卖方的指定银行账户。监管资金不足以清偿全部债务，导致抵押登记不能注销的，买方须承担抵押权追及力的后果。</w:t>
      </w:r>
    </w:p>
    <w:p w:rsidR="007A62EA" w:rsidRPr="00D622DB" w:rsidRDefault="00A46610" w:rsidP="00A46610">
      <w:pPr>
        <w:spacing w:line="540" w:lineRule="exact"/>
        <w:ind w:firstLineChars="150" w:firstLine="480"/>
        <w:rPr>
          <w:rFonts w:cs="仿宋_GB2312"/>
        </w:rPr>
      </w:pPr>
      <w:r w:rsidRPr="00D622DB">
        <w:rPr>
          <w:rFonts w:hint="eastAsia"/>
          <w:bCs/>
        </w:rPr>
        <w:t>（九</w:t>
      </w:r>
      <w:r w:rsidR="00AE5994" w:rsidRPr="00D622DB">
        <w:rPr>
          <w:rFonts w:hint="eastAsia"/>
          <w:bCs/>
        </w:rPr>
        <w:t>）交易未能完成的，</w:t>
      </w:r>
      <w:r w:rsidR="00AE5994" w:rsidRPr="00D622DB">
        <w:rPr>
          <w:rFonts w:cs="仿宋_GB2312" w:hint="eastAsia"/>
        </w:rPr>
        <w:t>根据监管部门的指令，资金监管银行将监管账户的资金原路退回买方或买方贷款银行。</w:t>
      </w:r>
    </w:p>
    <w:p w:rsidR="00A46610" w:rsidRPr="00D622DB" w:rsidRDefault="00A46610" w:rsidP="00A46610">
      <w:pPr>
        <w:spacing w:line="540" w:lineRule="exact"/>
        <w:ind w:firstLineChars="150" w:firstLine="480"/>
        <w:rPr>
          <w:rFonts w:cs="仿宋_GB2312"/>
        </w:rPr>
      </w:pPr>
      <w:r w:rsidRPr="00D622DB">
        <w:rPr>
          <w:rFonts w:cs="仿宋_GB2312" w:hint="eastAsia"/>
        </w:rPr>
        <w:t>（十）存量房</w:t>
      </w:r>
      <w:r w:rsidR="00BC178E" w:rsidRPr="00D622DB">
        <w:rPr>
          <w:rFonts w:cs="仿宋_GB2312" w:hint="eastAsia"/>
        </w:rPr>
        <w:t>在抵押期间需继承、赠与等转移业务，可参照本意见办理。</w:t>
      </w:r>
    </w:p>
    <w:p w:rsidR="007A62EA" w:rsidRPr="00D622DB" w:rsidRDefault="007A62EA" w:rsidP="003E2CBA">
      <w:pPr>
        <w:spacing w:line="540" w:lineRule="exact"/>
        <w:ind w:firstLineChars="200" w:firstLine="640"/>
        <w:rPr>
          <w:rFonts w:cs="仿宋_GB2312"/>
        </w:rPr>
      </w:pPr>
      <w:r w:rsidRPr="00D622DB">
        <w:rPr>
          <w:rFonts w:cs="仿宋_GB2312" w:hint="eastAsia"/>
        </w:rPr>
        <w:t>以上</w:t>
      </w:r>
      <w:r w:rsidR="00BC178E" w:rsidRPr="00D622DB">
        <w:rPr>
          <w:rFonts w:cs="仿宋_GB2312" w:hint="eastAsia"/>
        </w:rPr>
        <w:t>业务的实施</w:t>
      </w:r>
      <w:r w:rsidRPr="00D622DB">
        <w:rPr>
          <w:rFonts w:cs="仿宋_GB2312" w:hint="eastAsia"/>
        </w:rPr>
        <w:t>，可结合工作实践情况，进行相应调整。</w:t>
      </w:r>
    </w:p>
    <w:p w:rsidR="007A62EA" w:rsidRPr="00D622DB" w:rsidRDefault="007A62EA"/>
    <w:p w:rsidR="007A62EA" w:rsidRPr="00D622DB" w:rsidRDefault="00AE5994">
      <w:r w:rsidRPr="00D622DB">
        <w:rPr>
          <w:rFonts w:hint="eastAsia"/>
        </w:rPr>
        <w:t xml:space="preserve">                        长春市住房保障和房屋管理局</w:t>
      </w:r>
    </w:p>
    <w:p w:rsidR="007A62EA" w:rsidRPr="00D622DB" w:rsidRDefault="00AE5994">
      <w:r w:rsidRPr="00D622DB">
        <w:rPr>
          <w:rFonts w:hint="eastAsia"/>
        </w:rPr>
        <w:t xml:space="preserve">                        </w:t>
      </w:r>
    </w:p>
    <w:p w:rsidR="007A62EA" w:rsidRPr="00D622DB" w:rsidRDefault="007A62EA"/>
    <w:p w:rsidR="007A62EA" w:rsidRPr="00D622DB" w:rsidRDefault="007A62EA"/>
    <w:p w:rsidR="007A62EA" w:rsidRPr="00D622DB" w:rsidRDefault="007545AD" w:rsidP="007545AD">
      <w:pPr>
        <w:wordWrap w:val="0"/>
        <w:jc w:val="right"/>
      </w:pPr>
      <w:bookmarkStart w:id="0" w:name="_GoBack"/>
      <w:bookmarkEnd w:id="0"/>
      <w:r w:rsidRPr="00D622DB">
        <w:rPr>
          <w:rFonts w:hint="eastAsia"/>
        </w:rPr>
        <w:t>2023</w:t>
      </w:r>
      <w:r w:rsidR="00AE5994" w:rsidRPr="00D622DB">
        <w:rPr>
          <w:rFonts w:hint="eastAsia"/>
        </w:rPr>
        <w:t>年</w:t>
      </w:r>
      <w:r w:rsidRPr="00D622DB">
        <w:rPr>
          <w:rFonts w:hint="eastAsia"/>
        </w:rPr>
        <w:t>2</w:t>
      </w:r>
      <w:r w:rsidR="00AE5994" w:rsidRPr="00D622DB">
        <w:rPr>
          <w:rFonts w:hint="eastAsia"/>
        </w:rPr>
        <w:t>月</w:t>
      </w:r>
      <w:r w:rsidR="00D622DB">
        <w:rPr>
          <w:rFonts w:hint="eastAsia"/>
        </w:rPr>
        <w:t>28</w:t>
      </w:r>
      <w:r w:rsidR="00AE5994" w:rsidRPr="00D622DB">
        <w:rPr>
          <w:rFonts w:hint="eastAsia"/>
        </w:rPr>
        <w:t>日</w:t>
      </w:r>
      <w:r w:rsidRPr="00D622DB">
        <w:rPr>
          <w:rFonts w:hint="eastAsia"/>
        </w:rPr>
        <w:t xml:space="preserve">          </w:t>
      </w:r>
    </w:p>
    <w:sectPr w:rsidR="007A62EA" w:rsidRPr="00D622DB" w:rsidSect="007A62EA">
      <w:footerReference w:type="default" r:id="rId7"/>
      <w:pgSz w:w="11906" w:h="16838"/>
      <w:pgMar w:top="1985" w:right="1531" w:bottom="1418" w:left="1531" w:header="851" w:footer="992" w:gutter="0"/>
      <w:cols w:space="0"/>
      <w:docGrid w:type="lines" w:linePitch="4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401947" w15:done="0"/>
  <w15:commentEx w15:paraId="373922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114" w:rsidRDefault="005D4114" w:rsidP="007A62EA">
      <w:r>
        <w:separator/>
      </w:r>
    </w:p>
  </w:endnote>
  <w:endnote w:type="continuationSeparator" w:id="1">
    <w:p w:rsidR="005D4114" w:rsidRDefault="005D4114" w:rsidP="007A6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8810"/>
    </w:sdtPr>
    <w:sdtContent>
      <w:p w:rsidR="007A62EA" w:rsidRDefault="00926C91">
        <w:pPr>
          <w:pStyle w:val="a5"/>
          <w:jc w:val="right"/>
        </w:pPr>
        <w:r w:rsidRPr="00926C91">
          <w:fldChar w:fldCharType="begin"/>
        </w:r>
        <w:r w:rsidR="00AE5994">
          <w:instrText xml:space="preserve"> PAGE   \* MERGEFORMAT </w:instrText>
        </w:r>
        <w:r w:rsidRPr="00926C91">
          <w:fldChar w:fldCharType="separate"/>
        </w:r>
        <w:r w:rsidR="00D622DB" w:rsidRPr="00D622DB">
          <w:rPr>
            <w:noProof/>
            <w:lang w:val="zh-CN"/>
          </w:rPr>
          <w:t>1</w:t>
        </w:r>
        <w:r>
          <w:rPr>
            <w:lang w:val="zh-CN"/>
          </w:rPr>
          <w:fldChar w:fldCharType="end"/>
        </w:r>
      </w:p>
    </w:sdtContent>
  </w:sdt>
  <w:p w:rsidR="007A62EA" w:rsidRDefault="007A62EA">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114" w:rsidRDefault="005D4114" w:rsidP="007A62EA">
      <w:r>
        <w:separator/>
      </w:r>
    </w:p>
  </w:footnote>
  <w:footnote w:type="continuationSeparator" w:id="1">
    <w:p w:rsidR="005D4114" w:rsidRDefault="005D4114" w:rsidP="007A6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1B104"/>
    <w:multiLevelType w:val="singleLevel"/>
    <w:tmpl w:val="2041B104"/>
    <w:lvl w:ilvl="0">
      <w:start w:val="4"/>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党">
    <w15:presenceInfo w15:providerId="WPS Office" w15:userId="41684619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GMxYWIwOTU4MjJkZTg5MWRlMzM5ODJiNDczYjdiZjgifQ=="/>
  </w:docVars>
  <w:rsids>
    <w:rsidRoot w:val="00D87964"/>
    <w:rsid w:val="000062E4"/>
    <w:rsid w:val="00010057"/>
    <w:rsid w:val="0003217C"/>
    <w:rsid w:val="00033BDC"/>
    <w:rsid w:val="000816CB"/>
    <w:rsid w:val="000C3C06"/>
    <w:rsid w:val="000D5B08"/>
    <w:rsid w:val="000F3124"/>
    <w:rsid w:val="000F55E0"/>
    <w:rsid w:val="0013375A"/>
    <w:rsid w:val="00145C9D"/>
    <w:rsid w:val="001728E7"/>
    <w:rsid w:val="00182046"/>
    <w:rsid w:val="001A79C4"/>
    <w:rsid w:val="001C3858"/>
    <w:rsid w:val="001D26EA"/>
    <w:rsid w:val="001D3929"/>
    <w:rsid w:val="001E18B8"/>
    <w:rsid w:val="001E79FE"/>
    <w:rsid w:val="001F22F8"/>
    <w:rsid w:val="00200016"/>
    <w:rsid w:val="0021009C"/>
    <w:rsid w:val="002429F4"/>
    <w:rsid w:val="00264808"/>
    <w:rsid w:val="00297262"/>
    <w:rsid w:val="002E3C99"/>
    <w:rsid w:val="00332761"/>
    <w:rsid w:val="0034074D"/>
    <w:rsid w:val="00342B85"/>
    <w:rsid w:val="00354937"/>
    <w:rsid w:val="00355F18"/>
    <w:rsid w:val="0037659E"/>
    <w:rsid w:val="00391CAD"/>
    <w:rsid w:val="00394D81"/>
    <w:rsid w:val="003B0743"/>
    <w:rsid w:val="003B3CBE"/>
    <w:rsid w:val="003E19BA"/>
    <w:rsid w:val="003E2CBA"/>
    <w:rsid w:val="003F67B6"/>
    <w:rsid w:val="00401739"/>
    <w:rsid w:val="00402F01"/>
    <w:rsid w:val="00404826"/>
    <w:rsid w:val="00416661"/>
    <w:rsid w:val="00427B31"/>
    <w:rsid w:val="00431E46"/>
    <w:rsid w:val="00432ADD"/>
    <w:rsid w:val="00435692"/>
    <w:rsid w:val="004361BF"/>
    <w:rsid w:val="00451FCC"/>
    <w:rsid w:val="00453B11"/>
    <w:rsid w:val="00484338"/>
    <w:rsid w:val="004A3398"/>
    <w:rsid w:val="004C01C5"/>
    <w:rsid w:val="004D0221"/>
    <w:rsid w:val="004D396A"/>
    <w:rsid w:val="004E47D9"/>
    <w:rsid w:val="00513E12"/>
    <w:rsid w:val="0052004F"/>
    <w:rsid w:val="00566AF2"/>
    <w:rsid w:val="00572058"/>
    <w:rsid w:val="00577960"/>
    <w:rsid w:val="005904AA"/>
    <w:rsid w:val="005A0025"/>
    <w:rsid w:val="005B077F"/>
    <w:rsid w:val="005D4114"/>
    <w:rsid w:val="005D5979"/>
    <w:rsid w:val="005D6B1A"/>
    <w:rsid w:val="005D77E0"/>
    <w:rsid w:val="00612EC6"/>
    <w:rsid w:val="00616F7F"/>
    <w:rsid w:val="00646782"/>
    <w:rsid w:val="0065308B"/>
    <w:rsid w:val="00685299"/>
    <w:rsid w:val="006B444A"/>
    <w:rsid w:val="006B74F0"/>
    <w:rsid w:val="006D3F09"/>
    <w:rsid w:val="006F6BC7"/>
    <w:rsid w:val="007312DB"/>
    <w:rsid w:val="0074587E"/>
    <w:rsid w:val="007545AD"/>
    <w:rsid w:val="00774D75"/>
    <w:rsid w:val="007779BF"/>
    <w:rsid w:val="007A2B7F"/>
    <w:rsid w:val="007A62EA"/>
    <w:rsid w:val="007B05AC"/>
    <w:rsid w:val="007D20F0"/>
    <w:rsid w:val="007F7AB8"/>
    <w:rsid w:val="007F7FF3"/>
    <w:rsid w:val="008152D4"/>
    <w:rsid w:val="008209B9"/>
    <w:rsid w:val="0083321F"/>
    <w:rsid w:val="008575AA"/>
    <w:rsid w:val="00874E30"/>
    <w:rsid w:val="00894A56"/>
    <w:rsid w:val="008A21DC"/>
    <w:rsid w:val="008B4027"/>
    <w:rsid w:val="008D190D"/>
    <w:rsid w:val="008E1087"/>
    <w:rsid w:val="009154AE"/>
    <w:rsid w:val="00926C91"/>
    <w:rsid w:val="00930DF8"/>
    <w:rsid w:val="009353CB"/>
    <w:rsid w:val="0096268F"/>
    <w:rsid w:val="00965554"/>
    <w:rsid w:val="00974AC5"/>
    <w:rsid w:val="00975C22"/>
    <w:rsid w:val="0097736C"/>
    <w:rsid w:val="009935E9"/>
    <w:rsid w:val="00993AC7"/>
    <w:rsid w:val="009A0594"/>
    <w:rsid w:val="009C0D4B"/>
    <w:rsid w:val="00A27F01"/>
    <w:rsid w:val="00A46610"/>
    <w:rsid w:val="00A6521F"/>
    <w:rsid w:val="00A84279"/>
    <w:rsid w:val="00AB6895"/>
    <w:rsid w:val="00AB7807"/>
    <w:rsid w:val="00AE0298"/>
    <w:rsid w:val="00AE5994"/>
    <w:rsid w:val="00AE75AD"/>
    <w:rsid w:val="00B20E1C"/>
    <w:rsid w:val="00B61401"/>
    <w:rsid w:val="00B64897"/>
    <w:rsid w:val="00B767E2"/>
    <w:rsid w:val="00B82028"/>
    <w:rsid w:val="00BC178E"/>
    <w:rsid w:val="00BF0FBD"/>
    <w:rsid w:val="00C32557"/>
    <w:rsid w:val="00C35456"/>
    <w:rsid w:val="00C410E9"/>
    <w:rsid w:val="00C5347E"/>
    <w:rsid w:val="00C949E0"/>
    <w:rsid w:val="00CB0565"/>
    <w:rsid w:val="00CB2C06"/>
    <w:rsid w:val="00CB5487"/>
    <w:rsid w:val="00CF6C87"/>
    <w:rsid w:val="00CF6DB3"/>
    <w:rsid w:val="00CF7FD8"/>
    <w:rsid w:val="00D34CAE"/>
    <w:rsid w:val="00D622DB"/>
    <w:rsid w:val="00D720F6"/>
    <w:rsid w:val="00D82307"/>
    <w:rsid w:val="00D87964"/>
    <w:rsid w:val="00D97215"/>
    <w:rsid w:val="00DC2E96"/>
    <w:rsid w:val="00DD78CC"/>
    <w:rsid w:val="00DE279F"/>
    <w:rsid w:val="00DE7573"/>
    <w:rsid w:val="00DF32B8"/>
    <w:rsid w:val="00DF708E"/>
    <w:rsid w:val="00E46832"/>
    <w:rsid w:val="00E97ABC"/>
    <w:rsid w:val="00EA789D"/>
    <w:rsid w:val="00EB7645"/>
    <w:rsid w:val="00ED147B"/>
    <w:rsid w:val="00F1490B"/>
    <w:rsid w:val="00F21E0D"/>
    <w:rsid w:val="00F348C6"/>
    <w:rsid w:val="00F52CD5"/>
    <w:rsid w:val="00F71C24"/>
    <w:rsid w:val="00F74311"/>
    <w:rsid w:val="00F97F1F"/>
    <w:rsid w:val="00FC371B"/>
    <w:rsid w:val="00FE0953"/>
    <w:rsid w:val="00FE15A7"/>
    <w:rsid w:val="00FE192C"/>
    <w:rsid w:val="00FE798F"/>
    <w:rsid w:val="00FF444B"/>
    <w:rsid w:val="1F4A2381"/>
    <w:rsid w:val="20BE2A44"/>
    <w:rsid w:val="418518A6"/>
    <w:rsid w:val="7BFF7067"/>
    <w:rsid w:val="7FEB58BF"/>
    <w:rsid w:val="7FF151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EA"/>
    <w:pPr>
      <w:widowControl w:val="0"/>
      <w:jc w:val="both"/>
    </w:pPr>
    <w:rPr>
      <w:rFonts w:ascii="仿宋" w:eastAsia="仿宋" w:hAnsi="仿宋" w:cs="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7A62EA"/>
    <w:pPr>
      <w:jc w:val="left"/>
    </w:pPr>
  </w:style>
  <w:style w:type="paragraph" w:styleId="a4">
    <w:name w:val="Balloon Text"/>
    <w:basedOn w:val="a"/>
    <w:link w:val="Char0"/>
    <w:uiPriority w:val="99"/>
    <w:semiHidden/>
    <w:unhideWhenUsed/>
    <w:qFormat/>
    <w:rsid w:val="007A62EA"/>
    <w:rPr>
      <w:sz w:val="18"/>
      <w:szCs w:val="18"/>
    </w:rPr>
  </w:style>
  <w:style w:type="paragraph" w:styleId="a5">
    <w:name w:val="footer"/>
    <w:basedOn w:val="a"/>
    <w:link w:val="Char1"/>
    <w:uiPriority w:val="99"/>
    <w:rsid w:val="007A62EA"/>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7A62EA"/>
    <w:pPr>
      <w:pBdr>
        <w:bottom w:val="single" w:sz="6" w:space="1" w:color="auto"/>
      </w:pBdr>
      <w:tabs>
        <w:tab w:val="center" w:pos="4153"/>
        <w:tab w:val="right" w:pos="8306"/>
      </w:tabs>
      <w:snapToGrid w:val="0"/>
      <w:jc w:val="center"/>
    </w:pPr>
    <w:rPr>
      <w:sz w:val="18"/>
      <w:szCs w:val="18"/>
    </w:rPr>
  </w:style>
  <w:style w:type="character" w:customStyle="1" w:styleId="Char1">
    <w:name w:val="页脚 Char"/>
    <w:basedOn w:val="a0"/>
    <w:link w:val="a5"/>
    <w:uiPriority w:val="99"/>
    <w:rsid w:val="007A62EA"/>
    <w:rPr>
      <w:rFonts w:ascii="仿宋" w:eastAsia="仿宋" w:hAnsi="仿宋" w:cs="仿宋"/>
      <w:sz w:val="18"/>
      <w:szCs w:val="18"/>
    </w:rPr>
  </w:style>
  <w:style w:type="character" w:customStyle="1" w:styleId="Char2">
    <w:name w:val="页眉 Char"/>
    <w:basedOn w:val="a0"/>
    <w:link w:val="a6"/>
    <w:uiPriority w:val="99"/>
    <w:semiHidden/>
    <w:rsid w:val="007A62EA"/>
    <w:rPr>
      <w:rFonts w:ascii="仿宋" w:eastAsia="仿宋" w:hAnsi="仿宋" w:cs="仿宋"/>
      <w:sz w:val="18"/>
      <w:szCs w:val="18"/>
    </w:rPr>
  </w:style>
  <w:style w:type="character" w:customStyle="1" w:styleId="Char0">
    <w:name w:val="批注框文本 Char"/>
    <w:basedOn w:val="a0"/>
    <w:link w:val="a4"/>
    <w:uiPriority w:val="99"/>
    <w:semiHidden/>
    <w:rsid w:val="007A62EA"/>
    <w:rPr>
      <w:rFonts w:ascii="仿宋" w:eastAsia="仿宋" w:hAnsi="仿宋" w:cs="仿宋"/>
      <w:kern w:val="2"/>
      <w:sz w:val="18"/>
      <w:szCs w:val="18"/>
    </w:rPr>
  </w:style>
  <w:style w:type="character" w:styleId="a7">
    <w:name w:val="annotation reference"/>
    <w:basedOn w:val="a0"/>
    <w:uiPriority w:val="99"/>
    <w:semiHidden/>
    <w:unhideWhenUsed/>
    <w:rsid w:val="007A62EA"/>
    <w:rPr>
      <w:sz w:val="21"/>
      <w:szCs w:val="21"/>
    </w:rPr>
  </w:style>
  <w:style w:type="paragraph" w:styleId="a8">
    <w:name w:val="annotation subject"/>
    <w:basedOn w:val="a3"/>
    <w:next w:val="a3"/>
    <w:link w:val="Char3"/>
    <w:uiPriority w:val="99"/>
    <w:semiHidden/>
    <w:unhideWhenUsed/>
    <w:rsid w:val="00685299"/>
    <w:rPr>
      <w:b/>
      <w:bCs/>
    </w:rPr>
  </w:style>
  <w:style w:type="character" w:customStyle="1" w:styleId="Char">
    <w:name w:val="批注文字 Char"/>
    <w:basedOn w:val="a0"/>
    <w:link w:val="a3"/>
    <w:uiPriority w:val="99"/>
    <w:semiHidden/>
    <w:rsid w:val="00685299"/>
    <w:rPr>
      <w:rFonts w:ascii="仿宋" w:eastAsia="仿宋" w:hAnsi="仿宋" w:cs="仿宋"/>
      <w:kern w:val="2"/>
      <w:sz w:val="32"/>
      <w:szCs w:val="32"/>
    </w:rPr>
  </w:style>
  <w:style w:type="character" w:customStyle="1" w:styleId="Char3">
    <w:name w:val="批注主题 Char"/>
    <w:basedOn w:val="Char"/>
    <w:link w:val="a8"/>
    <w:rsid w:val="0068529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381</Words>
  <Characters>2177</Characters>
  <Application>Microsoft Office Word</Application>
  <DocSecurity>0</DocSecurity>
  <Lines>18</Lines>
  <Paragraphs>5</Paragraphs>
  <ScaleCrop>false</ScaleCrop>
  <Company>微软中国</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cp:revision>
  <cp:lastPrinted>2010-12-31T16:18:00Z</cp:lastPrinted>
  <dcterms:created xsi:type="dcterms:W3CDTF">2023-02-27T03:10:00Z</dcterms:created>
  <dcterms:modified xsi:type="dcterms:W3CDTF">2023-02-28T02:04:00Z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40FDE158FDD847E7A3DE57F76C63408F</vt:lpwstr>
  </property>
</Properties>
</file>